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99" w:rsidRPr="00FB7A03" w:rsidRDefault="00EB4D99" w:rsidP="00977D49">
      <w:pPr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Sosnowiec, dnia </w:t>
      </w:r>
      <w:r w:rsidR="00070CF0" w:rsidRPr="00FB7A03">
        <w:rPr>
          <w:rFonts w:ascii="Tahoma" w:hAnsi="Tahoma" w:cs="Tahoma"/>
          <w:sz w:val="20"/>
          <w:szCs w:val="20"/>
        </w:rPr>
        <w:t>2</w:t>
      </w:r>
      <w:r w:rsidR="00506D42" w:rsidRPr="00FB7A03">
        <w:rPr>
          <w:rFonts w:ascii="Tahoma" w:hAnsi="Tahoma" w:cs="Tahoma"/>
          <w:sz w:val="20"/>
          <w:szCs w:val="20"/>
        </w:rPr>
        <w:t>4</w:t>
      </w:r>
      <w:r w:rsidRPr="00FB7A03">
        <w:rPr>
          <w:rFonts w:ascii="Tahoma" w:hAnsi="Tahoma" w:cs="Tahoma"/>
          <w:sz w:val="20"/>
          <w:szCs w:val="20"/>
        </w:rPr>
        <w:t>.0</w:t>
      </w:r>
      <w:r w:rsidR="007C1BED" w:rsidRPr="00FB7A03">
        <w:rPr>
          <w:rFonts w:ascii="Tahoma" w:hAnsi="Tahoma" w:cs="Tahoma"/>
          <w:sz w:val="20"/>
          <w:szCs w:val="20"/>
        </w:rPr>
        <w:t>9</w:t>
      </w:r>
      <w:r w:rsidRPr="00FB7A03">
        <w:rPr>
          <w:rFonts w:ascii="Tahoma" w:hAnsi="Tahoma" w:cs="Tahoma"/>
          <w:sz w:val="20"/>
          <w:szCs w:val="20"/>
        </w:rPr>
        <w:t>.20</w:t>
      </w:r>
      <w:r w:rsidR="007C1BED" w:rsidRPr="00FB7A03">
        <w:rPr>
          <w:rFonts w:ascii="Tahoma" w:hAnsi="Tahoma" w:cs="Tahoma"/>
          <w:sz w:val="20"/>
          <w:szCs w:val="20"/>
        </w:rPr>
        <w:t>20</w:t>
      </w:r>
      <w:r w:rsidRPr="00FB7A03">
        <w:rPr>
          <w:rFonts w:ascii="Tahoma" w:hAnsi="Tahoma" w:cs="Tahoma"/>
          <w:sz w:val="20"/>
          <w:szCs w:val="20"/>
        </w:rPr>
        <w:t>r.</w:t>
      </w:r>
    </w:p>
    <w:p w:rsidR="00EB4D99" w:rsidRPr="00FB7A03" w:rsidRDefault="00EB4D99" w:rsidP="00977D49">
      <w:pPr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L. Dz.</w:t>
      </w:r>
      <w:r w:rsidR="00506D42" w:rsidRPr="00FB7A03">
        <w:rPr>
          <w:rFonts w:ascii="Tahoma" w:hAnsi="Tahoma" w:cs="Tahoma"/>
          <w:sz w:val="20"/>
          <w:szCs w:val="20"/>
        </w:rPr>
        <w:t>1357</w:t>
      </w:r>
      <w:r w:rsidRPr="00FB7A03">
        <w:rPr>
          <w:rFonts w:ascii="Tahoma" w:hAnsi="Tahoma" w:cs="Tahoma"/>
          <w:sz w:val="20"/>
          <w:szCs w:val="20"/>
        </w:rPr>
        <w:t>/0</w:t>
      </w:r>
      <w:r w:rsidR="007C1BED" w:rsidRPr="00FB7A03">
        <w:rPr>
          <w:rFonts w:ascii="Tahoma" w:hAnsi="Tahoma" w:cs="Tahoma"/>
          <w:sz w:val="20"/>
          <w:szCs w:val="20"/>
        </w:rPr>
        <w:t>9</w:t>
      </w:r>
      <w:r w:rsidRPr="00FB7A03">
        <w:rPr>
          <w:rFonts w:ascii="Tahoma" w:hAnsi="Tahoma" w:cs="Tahoma"/>
          <w:sz w:val="20"/>
          <w:szCs w:val="20"/>
        </w:rPr>
        <w:t>/</w:t>
      </w:r>
      <w:r w:rsidR="007C1BED" w:rsidRPr="00FB7A03">
        <w:rPr>
          <w:rFonts w:ascii="Tahoma" w:hAnsi="Tahoma" w:cs="Tahoma"/>
          <w:sz w:val="20"/>
          <w:szCs w:val="20"/>
        </w:rPr>
        <w:t>AH</w:t>
      </w:r>
      <w:r w:rsidRPr="00FB7A03">
        <w:rPr>
          <w:rFonts w:ascii="Tahoma" w:hAnsi="Tahoma" w:cs="Tahoma"/>
          <w:sz w:val="20"/>
          <w:szCs w:val="20"/>
        </w:rPr>
        <w:t>/20</w:t>
      </w:r>
      <w:r w:rsidR="007C1BED" w:rsidRPr="00FB7A03">
        <w:rPr>
          <w:rFonts w:ascii="Tahoma" w:hAnsi="Tahoma" w:cs="Tahoma"/>
          <w:sz w:val="20"/>
          <w:szCs w:val="20"/>
        </w:rPr>
        <w:t>20</w:t>
      </w:r>
    </w:p>
    <w:p w:rsidR="00EB4D99" w:rsidRPr="00FB7A03" w:rsidRDefault="00EB4D99" w:rsidP="00977D49">
      <w:pPr>
        <w:rPr>
          <w:rFonts w:ascii="Tahoma" w:hAnsi="Tahoma" w:cs="Tahoma"/>
          <w:sz w:val="20"/>
          <w:szCs w:val="20"/>
        </w:rPr>
      </w:pPr>
    </w:p>
    <w:p w:rsidR="007C1BED" w:rsidRPr="00FB7A03" w:rsidRDefault="007C1BED" w:rsidP="00977D49">
      <w:pPr>
        <w:pStyle w:val="HTML-wstpniesformatowany"/>
        <w:rPr>
          <w:rFonts w:ascii="Tahoma" w:hAnsi="Tahoma" w:cs="Tahoma"/>
          <w:b/>
        </w:rPr>
      </w:pPr>
    </w:p>
    <w:p w:rsidR="007C1BED" w:rsidRPr="00FB7A03" w:rsidRDefault="007C1BED" w:rsidP="00977D49">
      <w:pPr>
        <w:pStyle w:val="HTML-wstpniesformatowany"/>
        <w:rPr>
          <w:rFonts w:ascii="Tahoma" w:hAnsi="Tahoma" w:cs="Tahoma"/>
          <w:b/>
        </w:rPr>
      </w:pPr>
      <w:r w:rsidRPr="00FB7A03">
        <w:rPr>
          <w:rFonts w:ascii="Tahoma" w:hAnsi="Tahoma" w:cs="Tahoma"/>
          <w:b/>
        </w:rPr>
        <w:t xml:space="preserve">Zakład Ubezpieczeń na życie </w:t>
      </w:r>
    </w:p>
    <w:p w:rsidR="007C1BED" w:rsidRPr="00FB7A03" w:rsidRDefault="007C1BED" w:rsidP="00977D49">
      <w:pPr>
        <w:jc w:val="both"/>
        <w:outlineLvl w:val="6"/>
        <w:rPr>
          <w:rFonts w:ascii="Tahoma" w:hAnsi="Tahoma" w:cs="Tahoma"/>
          <w:b/>
          <w:bCs/>
          <w:sz w:val="20"/>
          <w:szCs w:val="20"/>
        </w:rPr>
      </w:pPr>
    </w:p>
    <w:p w:rsidR="007C1BED" w:rsidRPr="00FB7A03" w:rsidRDefault="007C1BED" w:rsidP="00977D49">
      <w:pPr>
        <w:jc w:val="both"/>
        <w:outlineLvl w:val="6"/>
        <w:rPr>
          <w:rFonts w:ascii="Tahoma" w:hAnsi="Tahoma" w:cs="Tahoma"/>
          <w:bCs/>
          <w:sz w:val="20"/>
          <w:szCs w:val="20"/>
        </w:rPr>
      </w:pPr>
    </w:p>
    <w:p w:rsidR="007C1BED" w:rsidRPr="00FB7A03" w:rsidRDefault="007C1BED" w:rsidP="00977D49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FB7A03">
        <w:rPr>
          <w:rFonts w:ascii="Tahoma" w:hAnsi="Tahoma" w:cs="Tahoma"/>
          <w:bCs/>
          <w:i/>
          <w:sz w:val="20"/>
          <w:szCs w:val="20"/>
        </w:rPr>
        <w:t>Sprawa dot.: grupowego ubezpieczenia na życie pracowników oraz członków ich rodzin</w:t>
      </w:r>
    </w:p>
    <w:p w:rsidR="007C1BED" w:rsidRPr="00FB7A03" w:rsidRDefault="007C1BED" w:rsidP="00977D4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C1BED" w:rsidRPr="00FB7A03" w:rsidRDefault="007C1BED" w:rsidP="00977D4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C1BED" w:rsidRPr="00FB7A03" w:rsidRDefault="007C1BED" w:rsidP="00977D4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B7A03">
        <w:rPr>
          <w:rFonts w:ascii="Tahoma" w:hAnsi="Tahoma" w:cs="Tahoma"/>
          <w:b/>
          <w:bCs/>
          <w:sz w:val="20"/>
          <w:szCs w:val="20"/>
        </w:rPr>
        <w:t>Szanowni Państwo,</w:t>
      </w:r>
    </w:p>
    <w:p w:rsidR="007C1BED" w:rsidRPr="00FB7A03" w:rsidRDefault="007C1BED" w:rsidP="00977D49">
      <w:pPr>
        <w:rPr>
          <w:rFonts w:ascii="Tahoma" w:hAnsi="Tahoma" w:cs="Tahoma"/>
          <w:b/>
          <w:bCs/>
          <w:sz w:val="20"/>
          <w:szCs w:val="20"/>
        </w:rPr>
      </w:pPr>
    </w:p>
    <w:p w:rsidR="007C1BED" w:rsidRPr="00FB7A03" w:rsidRDefault="007C1BED" w:rsidP="00977D4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Działając w imieniu i na rzecz naszego Klienta Filharmonii Śląskiej im. Henryka Mikołaja Góreckiego </w:t>
      </w:r>
      <w:r w:rsidR="00A3448F" w:rsidRPr="00FB7A03">
        <w:rPr>
          <w:rFonts w:ascii="Tahoma" w:hAnsi="Tahoma" w:cs="Tahoma"/>
          <w:sz w:val="20"/>
          <w:szCs w:val="20"/>
        </w:rPr>
        <w:br/>
      </w:r>
      <w:r w:rsidRPr="00FB7A03">
        <w:rPr>
          <w:rFonts w:ascii="Tahoma" w:hAnsi="Tahoma" w:cs="Tahoma"/>
          <w:sz w:val="20"/>
          <w:szCs w:val="20"/>
        </w:rPr>
        <w:t>w Katowicach proszę o przedstawienie oferty grupowego ubezpieczenia na życie pracowników oraz członków ich rodzin.</w:t>
      </w:r>
    </w:p>
    <w:p w:rsidR="007C1BED" w:rsidRPr="00FB7A03" w:rsidRDefault="007C1BED" w:rsidP="00977D49">
      <w:pPr>
        <w:jc w:val="both"/>
        <w:rPr>
          <w:rFonts w:ascii="Tahoma" w:hAnsi="Tahoma" w:cs="Tahoma"/>
          <w:sz w:val="20"/>
          <w:szCs w:val="20"/>
        </w:rPr>
      </w:pPr>
    </w:p>
    <w:p w:rsidR="007C1BED" w:rsidRPr="00FB7A03" w:rsidRDefault="007C1BED" w:rsidP="00977D49">
      <w:pPr>
        <w:jc w:val="both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Proszę o przygotowanie oferty </w:t>
      </w:r>
      <w:r w:rsidRPr="00FB7A03">
        <w:rPr>
          <w:rFonts w:ascii="Tahoma" w:hAnsi="Tahoma" w:cs="Tahoma"/>
          <w:b/>
          <w:sz w:val="20"/>
          <w:szCs w:val="20"/>
        </w:rPr>
        <w:t>do dnia</w:t>
      </w:r>
      <w:r w:rsidR="00787C6F" w:rsidRPr="00FB7A03">
        <w:rPr>
          <w:rFonts w:ascii="Tahoma" w:hAnsi="Tahoma" w:cs="Tahoma"/>
          <w:b/>
          <w:sz w:val="20"/>
          <w:szCs w:val="20"/>
        </w:rPr>
        <w:t xml:space="preserve"> </w:t>
      </w:r>
      <w:r w:rsidR="00FB7A03">
        <w:rPr>
          <w:rFonts w:ascii="Tahoma" w:hAnsi="Tahoma" w:cs="Tahoma"/>
          <w:b/>
          <w:sz w:val="20"/>
          <w:szCs w:val="20"/>
        </w:rPr>
        <w:t>01</w:t>
      </w:r>
      <w:r w:rsidR="00787C6F" w:rsidRPr="00FB7A03">
        <w:rPr>
          <w:rFonts w:ascii="Tahoma" w:hAnsi="Tahoma" w:cs="Tahoma"/>
          <w:b/>
          <w:sz w:val="20"/>
          <w:szCs w:val="20"/>
        </w:rPr>
        <w:t>.</w:t>
      </w:r>
      <w:r w:rsidR="00506D42" w:rsidRPr="00FB7A03">
        <w:rPr>
          <w:rFonts w:ascii="Tahoma" w:hAnsi="Tahoma" w:cs="Tahoma"/>
          <w:b/>
          <w:sz w:val="20"/>
          <w:szCs w:val="20"/>
        </w:rPr>
        <w:t>1</w:t>
      </w:r>
      <w:r w:rsidR="00787C6F" w:rsidRPr="00FB7A03">
        <w:rPr>
          <w:rFonts w:ascii="Tahoma" w:hAnsi="Tahoma" w:cs="Tahoma"/>
          <w:b/>
          <w:sz w:val="20"/>
          <w:szCs w:val="20"/>
        </w:rPr>
        <w:t>0.2020r.</w:t>
      </w:r>
      <w:r w:rsidR="00506D42" w:rsidRPr="00FB7A03">
        <w:rPr>
          <w:rFonts w:ascii="Tahoma" w:hAnsi="Tahoma" w:cs="Tahoma"/>
          <w:b/>
          <w:sz w:val="20"/>
          <w:szCs w:val="20"/>
        </w:rPr>
        <w:t xml:space="preserve"> do godziny 16:00</w:t>
      </w:r>
    </w:p>
    <w:p w:rsidR="007C1BED" w:rsidRPr="00FB7A03" w:rsidRDefault="007C1BED" w:rsidP="00977D49">
      <w:pPr>
        <w:jc w:val="both"/>
        <w:rPr>
          <w:rFonts w:ascii="Tahoma" w:hAnsi="Tahoma" w:cs="Tahoma"/>
          <w:i/>
          <w:sz w:val="20"/>
          <w:szCs w:val="20"/>
        </w:rPr>
      </w:pPr>
    </w:p>
    <w:p w:rsidR="007C1BED" w:rsidRPr="00FB7A03" w:rsidRDefault="007C1BED" w:rsidP="00977D49">
      <w:pPr>
        <w:jc w:val="both"/>
        <w:rPr>
          <w:rFonts w:ascii="Tahoma" w:hAnsi="Tahoma" w:cs="Tahoma"/>
          <w:i/>
          <w:sz w:val="20"/>
          <w:szCs w:val="20"/>
        </w:rPr>
      </w:pPr>
    </w:p>
    <w:p w:rsidR="007C1BED" w:rsidRPr="00FB7A03" w:rsidRDefault="007C1BED" w:rsidP="00977D49">
      <w:pPr>
        <w:jc w:val="center"/>
        <w:rPr>
          <w:rFonts w:ascii="Tahoma" w:hAnsi="Tahoma" w:cs="Tahoma"/>
          <w:b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 xml:space="preserve">ZAPYTANIE OFERTOWE </w:t>
      </w:r>
    </w:p>
    <w:p w:rsidR="007C1BED" w:rsidRPr="00FB7A03" w:rsidRDefault="007C1BED" w:rsidP="00977D49">
      <w:pPr>
        <w:jc w:val="center"/>
        <w:rPr>
          <w:rFonts w:ascii="Tahoma" w:hAnsi="Tahoma" w:cs="Tahoma"/>
          <w:b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 xml:space="preserve">NA USŁUGĘ </w:t>
      </w:r>
    </w:p>
    <w:p w:rsidR="00A3448F" w:rsidRPr="00FB7A03" w:rsidRDefault="007C1BED" w:rsidP="00977D49">
      <w:pPr>
        <w:jc w:val="center"/>
        <w:rPr>
          <w:rFonts w:ascii="Tahoma" w:hAnsi="Tahoma" w:cs="Tahoma"/>
          <w:b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 xml:space="preserve">GRUPOWEGO UBEZPIECZENIA NA ŻYCIE PRACOWNIKÓW FILHARMONII ŚLĄSKIEJ </w:t>
      </w:r>
    </w:p>
    <w:p w:rsidR="007C1BED" w:rsidRPr="00FB7A03" w:rsidRDefault="007C1BED" w:rsidP="00977D49">
      <w:pPr>
        <w:jc w:val="center"/>
        <w:rPr>
          <w:rFonts w:ascii="Tahoma" w:hAnsi="Tahoma" w:cs="Tahoma"/>
          <w:b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>ORAZ CZŁONKÓW ICH RODZIN O WARTOŚCI NIEPRZEKRACZAJĄCEJ RÓWNOWARTOŚCI KWOTY 30 000 EUR</w:t>
      </w:r>
    </w:p>
    <w:p w:rsidR="007C1BED" w:rsidRPr="00FB7A03" w:rsidRDefault="007C1BED" w:rsidP="00977D49">
      <w:pPr>
        <w:jc w:val="both"/>
        <w:rPr>
          <w:rFonts w:ascii="Tahoma" w:hAnsi="Tahoma" w:cs="Tahoma"/>
          <w:i/>
          <w:sz w:val="20"/>
          <w:szCs w:val="20"/>
        </w:rPr>
      </w:pPr>
    </w:p>
    <w:p w:rsidR="007C1BED" w:rsidRPr="00FB7A03" w:rsidRDefault="007C1BED" w:rsidP="00977D49">
      <w:pPr>
        <w:jc w:val="both"/>
        <w:rPr>
          <w:rFonts w:ascii="Tahoma" w:hAnsi="Tahoma" w:cs="Tahoma"/>
          <w:i/>
          <w:sz w:val="20"/>
          <w:szCs w:val="20"/>
        </w:rPr>
      </w:pPr>
    </w:p>
    <w:p w:rsidR="007C1BED" w:rsidRPr="00FB7A03" w:rsidRDefault="007C1BED" w:rsidP="006D6379">
      <w:pPr>
        <w:pStyle w:val="Akapitzlist"/>
        <w:keepNext/>
        <w:numPr>
          <w:ilvl w:val="0"/>
          <w:numId w:val="1"/>
        </w:numPr>
        <w:ind w:left="426" w:hanging="426"/>
        <w:outlineLvl w:val="1"/>
        <w:rPr>
          <w:rFonts w:ascii="Tahoma" w:hAnsi="Tahoma" w:cs="Tahoma"/>
          <w:b/>
          <w:bCs/>
          <w:iCs/>
          <w:sz w:val="20"/>
          <w:szCs w:val="20"/>
        </w:rPr>
      </w:pPr>
      <w:r w:rsidRPr="00FB7A03">
        <w:rPr>
          <w:rFonts w:ascii="Tahoma" w:hAnsi="Tahoma" w:cs="Tahoma"/>
          <w:b/>
          <w:bCs/>
          <w:iCs/>
          <w:sz w:val="20"/>
          <w:szCs w:val="20"/>
        </w:rPr>
        <w:t>WPROWADZENIE:</w:t>
      </w:r>
    </w:p>
    <w:p w:rsidR="007C1BED" w:rsidRPr="00FB7A03" w:rsidRDefault="007C1BED" w:rsidP="00977D49">
      <w:pPr>
        <w:pStyle w:val="Akapitzlist"/>
        <w:keepNext/>
        <w:ind w:left="426"/>
        <w:outlineLvl w:val="1"/>
        <w:rPr>
          <w:rFonts w:ascii="Tahoma" w:hAnsi="Tahoma" w:cs="Tahoma"/>
          <w:b/>
          <w:bCs/>
          <w:iCs/>
          <w:sz w:val="20"/>
          <w:szCs w:val="20"/>
        </w:rPr>
      </w:pPr>
    </w:p>
    <w:p w:rsidR="007C1BED" w:rsidRPr="00FB7A03" w:rsidRDefault="007C1BED" w:rsidP="00977D49">
      <w:pPr>
        <w:pStyle w:val="Akapitzlist"/>
        <w:keepNext/>
        <w:ind w:left="426" w:hanging="426"/>
        <w:outlineLvl w:val="1"/>
        <w:rPr>
          <w:rFonts w:ascii="Tahoma" w:hAnsi="Tahoma" w:cs="Tahoma"/>
          <w:iCs/>
          <w:sz w:val="20"/>
          <w:szCs w:val="20"/>
        </w:rPr>
      </w:pPr>
      <w:r w:rsidRPr="00FB7A03">
        <w:rPr>
          <w:rFonts w:ascii="Tahoma" w:hAnsi="Tahoma" w:cs="Tahoma"/>
          <w:iCs/>
          <w:sz w:val="20"/>
          <w:szCs w:val="20"/>
        </w:rPr>
        <w:t xml:space="preserve">1. </w:t>
      </w:r>
      <w:r w:rsidRPr="00FB7A03">
        <w:rPr>
          <w:rFonts w:ascii="Tahoma" w:hAnsi="Tahoma" w:cs="Tahoma"/>
          <w:iCs/>
          <w:sz w:val="20"/>
          <w:szCs w:val="20"/>
        </w:rPr>
        <w:tab/>
        <w:t>Do niniejszego postępowania nie mają zastosowania przepisy ustawy z dnia 29 stycznia 2004 roku – Prawo zamówień publicznych (Dz. U. 2019r. poz. 1843) zwanej dalej „PZP”.</w:t>
      </w:r>
    </w:p>
    <w:p w:rsidR="007C1BED" w:rsidRPr="00FB7A03" w:rsidRDefault="007C1BED" w:rsidP="00977D49">
      <w:pPr>
        <w:pStyle w:val="Akapitzlist"/>
        <w:keepNext/>
        <w:ind w:left="426" w:hanging="426"/>
        <w:outlineLvl w:val="1"/>
        <w:rPr>
          <w:rFonts w:ascii="Tahoma" w:hAnsi="Tahoma" w:cs="Tahoma"/>
          <w:iCs/>
          <w:sz w:val="20"/>
          <w:szCs w:val="20"/>
        </w:rPr>
      </w:pPr>
      <w:r w:rsidRPr="00FB7A03">
        <w:rPr>
          <w:rFonts w:ascii="Tahoma" w:hAnsi="Tahoma" w:cs="Tahoma"/>
          <w:iCs/>
          <w:sz w:val="20"/>
          <w:szCs w:val="20"/>
        </w:rPr>
        <w:t xml:space="preserve">2. </w:t>
      </w:r>
      <w:r w:rsidRPr="00FB7A03">
        <w:rPr>
          <w:rFonts w:ascii="Tahoma" w:hAnsi="Tahoma" w:cs="Tahoma"/>
          <w:iCs/>
          <w:sz w:val="20"/>
          <w:szCs w:val="20"/>
        </w:rPr>
        <w:tab/>
        <w:t xml:space="preserve">Postępowanie prowadzone jest zgodnie z Regulaminem udzielania zamówień publicznych w Filharmonii Śląskiej im. </w:t>
      </w:r>
      <w:r w:rsidR="008427DB" w:rsidRPr="00FB7A03">
        <w:rPr>
          <w:rFonts w:ascii="Tahoma" w:hAnsi="Tahoma" w:cs="Tahoma"/>
          <w:iCs/>
          <w:sz w:val="20"/>
          <w:szCs w:val="20"/>
        </w:rPr>
        <w:t>Henryka</w:t>
      </w:r>
      <w:r w:rsidRPr="00FB7A03">
        <w:rPr>
          <w:rFonts w:ascii="Tahoma" w:hAnsi="Tahoma" w:cs="Tahoma"/>
          <w:iCs/>
          <w:sz w:val="20"/>
          <w:szCs w:val="20"/>
        </w:rPr>
        <w:t xml:space="preserve"> Mikołaja Góreckiego w Katowicach o wartości nieprzekraczającej równowartości 30.000 EURO na zadania, o których mowa w art. 4.8 PZP.</w:t>
      </w:r>
    </w:p>
    <w:p w:rsidR="007C1BED" w:rsidRPr="00FB7A03" w:rsidRDefault="007C1BED" w:rsidP="00977D49">
      <w:pPr>
        <w:keepNext/>
        <w:outlineLvl w:val="1"/>
        <w:rPr>
          <w:rFonts w:ascii="Tahoma" w:hAnsi="Tahoma" w:cs="Tahoma"/>
          <w:b/>
          <w:bCs/>
          <w:iCs/>
          <w:sz w:val="20"/>
          <w:szCs w:val="20"/>
        </w:rPr>
      </w:pPr>
    </w:p>
    <w:p w:rsidR="00593A41" w:rsidRPr="00FB7A03" w:rsidRDefault="00593A41" w:rsidP="00977D49">
      <w:pPr>
        <w:keepNext/>
        <w:outlineLvl w:val="1"/>
        <w:rPr>
          <w:rFonts w:ascii="Tahoma" w:hAnsi="Tahoma" w:cs="Tahoma"/>
          <w:b/>
          <w:bCs/>
          <w:iCs/>
          <w:sz w:val="20"/>
          <w:szCs w:val="20"/>
        </w:rPr>
      </w:pPr>
    </w:p>
    <w:p w:rsidR="007C1BED" w:rsidRPr="00FB7A03" w:rsidRDefault="007C1BED" w:rsidP="006D6379">
      <w:pPr>
        <w:pStyle w:val="Akapitzlist"/>
        <w:keepNext/>
        <w:numPr>
          <w:ilvl w:val="0"/>
          <w:numId w:val="1"/>
        </w:numPr>
        <w:ind w:left="426" w:hanging="426"/>
        <w:outlineLvl w:val="1"/>
        <w:rPr>
          <w:rFonts w:ascii="Tahoma" w:hAnsi="Tahoma" w:cs="Tahoma"/>
          <w:b/>
          <w:bCs/>
          <w:iCs/>
          <w:sz w:val="20"/>
          <w:szCs w:val="20"/>
        </w:rPr>
      </w:pPr>
      <w:r w:rsidRPr="00FB7A03">
        <w:rPr>
          <w:rFonts w:ascii="Tahoma" w:hAnsi="Tahoma" w:cs="Tahoma"/>
          <w:b/>
          <w:bCs/>
          <w:iCs/>
          <w:sz w:val="20"/>
          <w:szCs w:val="20"/>
        </w:rPr>
        <w:t>ZAMAWIAJĄCY:</w:t>
      </w:r>
    </w:p>
    <w:p w:rsidR="007C1BED" w:rsidRPr="00FB7A03" w:rsidRDefault="007C1BED" w:rsidP="00977D49">
      <w:pPr>
        <w:jc w:val="both"/>
        <w:rPr>
          <w:rFonts w:ascii="Tahoma" w:hAnsi="Tahoma" w:cs="Tahoma"/>
          <w:sz w:val="20"/>
          <w:szCs w:val="20"/>
        </w:rPr>
      </w:pPr>
    </w:p>
    <w:p w:rsidR="007C1BED" w:rsidRPr="00FB7A03" w:rsidRDefault="007C1BED" w:rsidP="00977D49">
      <w:pPr>
        <w:jc w:val="both"/>
        <w:rPr>
          <w:rFonts w:ascii="Tahoma" w:hAnsi="Tahoma" w:cs="Tahoma"/>
          <w:b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>Filharmonia Śląska im. Henryka Mikołaja Góreckiego</w:t>
      </w:r>
    </w:p>
    <w:p w:rsidR="007C1BED" w:rsidRPr="00FB7A03" w:rsidRDefault="007C1BED" w:rsidP="00977D49">
      <w:pPr>
        <w:jc w:val="both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ul. Sokolska 2, 40-084 Katowice</w:t>
      </w:r>
    </w:p>
    <w:p w:rsidR="007C1BED" w:rsidRPr="00FB7A03" w:rsidRDefault="00A3448F" w:rsidP="00977D49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NIP: 634-013-76-69</w:t>
      </w:r>
      <w:r w:rsidRPr="00FB7A03">
        <w:rPr>
          <w:rFonts w:ascii="Tahoma" w:hAnsi="Tahoma" w:cs="Tahoma"/>
          <w:sz w:val="20"/>
          <w:szCs w:val="20"/>
        </w:rPr>
        <w:tab/>
      </w:r>
      <w:r w:rsidR="007C1BED" w:rsidRPr="00FB7A03">
        <w:rPr>
          <w:rFonts w:ascii="Tahoma" w:hAnsi="Tahoma" w:cs="Tahoma"/>
          <w:sz w:val="20"/>
          <w:szCs w:val="20"/>
        </w:rPr>
        <w:t>REGON:</w:t>
      </w:r>
      <w:r w:rsidRPr="00FB7A03">
        <w:rPr>
          <w:rFonts w:ascii="Tahoma" w:hAnsi="Tahoma" w:cs="Tahoma"/>
          <w:sz w:val="20"/>
          <w:szCs w:val="20"/>
        </w:rPr>
        <w:t xml:space="preserve"> </w:t>
      </w:r>
      <w:r w:rsidR="007C1BED" w:rsidRPr="00FB7A03">
        <w:rPr>
          <w:rFonts w:ascii="Tahoma" w:hAnsi="Tahoma" w:cs="Tahoma"/>
          <w:sz w:val="20"/>
          <w:szCs w:val="20"/>
        </w:rPr>
        <w:t>000279338</w:t>
      </w:r>
    </w:p>
    <w:p w:rsidR="007C1BED" w:rsidRPr="00FB7A03" w:rsidRDefault="007C1BED" w:rsidP="00977D49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7C1BED" w:rsidRPr="00FB7A03" w:rsidRDefault="007C1BED" w:rsidP="00977D49">
      <w:pPr>
        <w:jc w:val="both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Rodzaj wykonywanej działalności: Działalność związana z wystawianiem przedstawień artystycznych</w:t>
      </w:r>
    </w:p>
    <w:p w:rsidR="007C1BED" w:rsidRPr="00FB7A03" w:rsidRDefault="007C1BED" w:rsidP="00977D49">
      <w:pPr>
        <w:jc w:val="both"/>
        <w:rPr>
          <w:rFonts w:ascii="Tahoma" w:hAnsi="Tahoma" w:cs="Tahoma"/>
          <w:sz w:val="20"/>
          <w:szCs w:val="20"/>
        </w:rPr>
      </w:pPr>
    </w:p>
    <w:p w:rsidR="00593A41" w:rsidRPr="00FB7A03" w:rsidRDefault="00593A41" w:rsidP="00977D49">
      <w:pPr>
        <w:jc w:val="both"/>
        <w:rPr>
          <w:rFonts w:ascii="Tahoma" w:hAnsi="Tahoma" w:cs="Tahoma"/>
          <w:sz w:val="20"/>
          <w:szCs w:val="20"/>
        </w:rPr>
      </w:pPr>
    </w:p>
    <w:p w:rsidR="007C1BED" w:rsidRPr="00FB7A03" w:rsidRDefault="007C1BED" w:rsidP="006D6379">
      <w:pPr>
        <w:pStyle w:val="Akapitzlist"/>
        <w:numPr>
          <w:ilvl w:val="0"/>
          <w:numId w:val="1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 xml:space="preserve">OPIS PRZEDMIOTU ZAMÓWIENIA:  </w:t>
      </w:r>
    </w:p>
    <w:p w:rsidR="00A3448F" w:rsidRPr="00FB7A03" w:rsidRDefault="00A3448F" w:rsidP="00977D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3448F" w:rsidRPr="00FB7A03" w:rsidRDefault="00A3448F" w:rsidP="006D637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>Ubezpieczający:</w:t>
      </w:r>
    </w:p>
    <w:p w:rsidR="00A3448F" w:rsidRPr="00FB7A03" w:rsidRDefault="00A3448F" w:rsidP="00977D4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Filharmonia Śląska im. Henryka Mikołaja Góreckiego</w:t>
      </w:r>
    </w:p>
    <w:p w:rsidR="00A3448F" w:rsidRPr="00FB7A03" w:rsidRDefault="00A3448F" w:rsidP="00977D4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ul. Sokolska 2, 40-084 Katowice</w:t>
      </w:r>
    </w:p>
    <w:p w:rsidR="00A3448F" w:rsidRPr="00FB7A03" w:rsidRDefault="00A3448F" w:rsidP="00977D4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3448F" w:rsidRPr="00FB7A03" w:rsidRDefault="00A3448F" w:rsidP="006D637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>Ubezpieczeni:</w:t>
      </w:r>
    </w:p>
    <w:tbl>
      <w:tblPr>
        <w:tblW w:w="9071" w:type="dxa"/>
        <w:tblInd w:w="423" w:type="dxa"/>
        <w:tblCellMar>
          <w:left w:w="70" w:type="dxa"/>
          <w:right w:w="70" w:type="dxa"/>
        </w:tblCellMar>
        <w:tblLook w:val="04A0"/>
      </w:tblPr>
      <w:tblGrid>
        <w:gridCol w:w="9071"/>
      </w:tblGrid>
      <w:tr w:rsidR="00A3448F" w:rsidRPr="00FB7A03" w:rsidTr="00E938B9">
        <w:trPr>
          <w:trHeight w:val="28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448F" w:rsidRPr="00FB7A03" w:rsidRDefault="00A3448F" w:rsidP="00E938B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FB7A03">
              <w:rPr>
                <w:rFonts w:ascii="Tahoma" w:hAnsi="Tahoma" w:cs="Tahoma"/>
                <w:sz w:val="20"/>
                <w:szCs w:val="20"/>
              </w:rPr>
              <w:t xml:space="preserve">Liczba pracowników stan na dzień </w:t>
            </w:r>
            <w:r w:rsidR="007607FE" w:rsidRPr="00FB7A03">
              <w:rPr>
                <w:rFonts w:ascii="Tahoma" w:hAnsi="Tahoma" w:cs="Tahoma"/>
                <w:sz w:val="20"/>
                <w:szCs w:val="20"/>
              </w:rPr>
              <w:t xml:space="preserve"> 23.09.2020 </w:t>
            </w:r>
            <w:r w:rsidRPr="00FB7A03">
              <w:rPr>
                <w:rFonts w:ascii="Tahoma" w:hAnsi="Tahoma" w:cs="Tahoma"/>
                <w:sz w:val="20"/>
                <w:szCs w:val="20"/>
              </w:rPr>
              <w:t>r.</w:t>
            </w:r>
            <w:r w:rsidRPr="00FB7A03">
              <w:rPr>
                <w:rFonts w:ascii="Tahoma" w:hAnsi="Tahoma" w:cs="Tahoma"/>
                <w:noProof/>
                <w:sz w:val="20"/>
                <w:szCs w:val="20"/>
              </w:rPr>
              <w:t xml:space="preserve"> – </w:t>
            </w:r>
            <w:r w:rsidR="004D2314" w:rsidRPr="00FB7A03">
              <w:rPr>
                <w:rFonts w:ascii="Tahoma" w:hAnsi="Tahoma" w:cs="Tahoma"/>
                <w:noProof/>
                <w:sz w:val="20"/>
                <w:szCs w:val="20"/>
              </w:rPr>
              <w:t>212</w:t>
            </w:r>
            <w:r w:rsidRPr="00FB7A03">
              <w:rPr>
                <w:rFonts w:ascii="Tahoma" w:hAnsi="Tahoma" w:cs="Tahoma"/>
                <w:noProof/>
                <w:sz w:val="20"/>
                <w:szCs w:val="20"/>
              </w:rPr>
              <w:t xml:space="preserve"> osób </w:t>
            </w:r>
          </w:p>
        </w:tc>
      </w:tr>
    </w:tbl>
    <w:p w:rsidR="00A3448F" w:rsidRPr="00FB7A03" w:rsidRDefault="00A3448F" w:rsidP="00977D49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A3448F" w:rsidRPr="00FB7A03" w:rsidRDefault="00A3448F" w:rsidP="00977D49">
      <w:pPr>
        <w:widowControl w:val="0"/>
        <w:shd w:val="clear" w:color="auto" w:fill="FFFFFF"/>
        <w:tabs>
          <w:tab w:val="left" w:pos="426"/>
        </w:tabs>
        <w:suppressAutoHyphens/>
        <w:autoSpaceDE w:val="0"/>
        <w:ind w:left="426"/>
        <w:jc w:val="both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bCs/>
          <w:sz w:val="20"/>
          <w:szCs w:val="20"/>
        </w:rPr>
        <w:t>Struktura pracowników wg wieku i płci</w:t>
      </w:r>
      <w:r w:rsidRPr="00FB7A03">
        <w:rPr>
          <w:rFonts w:ascii="Tahoma" w:hAnsi="Tahoma" w:cs="Tahoma"/>
          <w:sz w:val="20"/>
          <w:szCs w:val="20"/>
        </w:rPr>
        <w:t xml:space="preserve"> – została określona w </w:t>
      </w:r>
      <w:r w:rsidRPr="00FB7A03">
        <w:rPr>
          <w:rFonts w:ascii="Tahoma" w:hAnsi="Tahoma" w:cs="Tahoma"/>
          <w:b/>
          <w:sz w:val="20"/>
          <w:szCs w:val="20"/>
        </w:rPr>
        <w:t xml:space="preserve">ZAŁĄCZNIKU NR </w:t>
      </w:r>
      <w:r w:rsidR="0003055E" w:rsidRPr="00FB7A03">
        <w:rPr>
          <w:rFonts w:ascii="Tahoma" w:hAnsi="Tahoma" w:cs="Tahoma"/>
          <w:b/>
          <w:sz w:val="20"/>
          <w:szCs w:val="20"/>
        </w:rPr>
        <w:t>1</w:t>
      </w:r>
      <w:r w:rsidRPr="00FB7A03">
        <w:rPr>
          <w:rFonts w:ascii="Tahoma" w:hAnsi="Tahoma" w:cs="Tahoma"/>
          <w:b/>
          <w:sz w:val="20"/>
          <w:szCs w:val="20"/>
        </w:rPr>
        <w:t xml:space="preserve"> do ZAPYTANIA OFERTOWEGO</w:t>
      </w:r>
      <w:r w:rsidRPr="00FB7A03">
        <w:rPr>
          <w:rFonts w:ascii="Tahoma" w:hAnsi="Tahoma" w:cs="Tahoma"/>
          <w:sz w:val="20"/>
          <w:szCs w:val="20"/>
        </w:rPr>
        <w:t>.</w:t>
      </w:r>
    </w:p>
    <w:p w:rsidR="00A3448F" w:rsidRPr="00FB7A03" w:rsidRDefault="00A3448F" w:rsidP="00977D49">
      <w:pPr>
        <w:widowControl w:val="0"/>
        <w:shd w:val="clear" w:color="auto" w:fill="FFFFFF"/>
        <w:tabs>
          <w:tab w:val="left" w:pos="426"/>
        </w:tabs>
        <w:suppressAutoHyphens/>
        <w:autoSpaceDE w:val="0"/>
        <w:ind w:left="426"/>
        <w:jc w:val="both"/>
        <w:rPr>
          <w:rFonts w:ascii="Tahoma" w:hAnsi="Tahoma" w:cs="Tahoma"/>
          <w:color w:val="FF0000"/>
          <w:sz w:val="20"/>
          <w:szCs w:val="20"/>
        </w:rPr>
      </w:pPr>
    </w:p>
    <w:p w:rsidR="00977D49" w:rsidRPr="00FB7A03" w:rsidRDefault="00977D49" w:rsidP="006D637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lastRenderedPageBreak/>
        <w:t xml:space="preserve">Przebieg ubezpieczenia </w:t>
      </w:r>
      <w:r w:rsidRPr="00FB7A03">
        <w:rPr>
          <w:rFonts w:ascii="Tahoma" w:hAnsi="Tahoma" w:cs="Tahoma"/>
          <w:sz w:val="20"/>
          <w:szCs w:val="20"/>
        </w:rPr>
        <w:t>–</w:t>
      </w:r>
      <w:r w:rsidRPr="00FB7A03">
        <w:rPr>
          <w:rFonts w:ascii="Tahoma" w:hAnsi="Tahoma" w:cs="Tahoma"/>
          <w:b/>
          <w:sz w:val="20"/>
          <w:szCs w:val="20"/>
        </w:rPr>
        <w:t xml:space="preserve"> </w:t>
      </w:r>
      <w:r w:rsidRPr="00FB7A03">
        <w:rPr>
          <w:rFonts w:ascii="Tahoma" w:hAnsi="Tahoma" w:cs="Tahoma"/>
          <w:sz w:val="20"/>
          <w:szCs w:val="20"/>
        </w:rPr>
        <w:t>Ubezpieczający posiada obecnie umowę grupowego ubezpieczenia na życie</w:t>
      </w:r>
    </w:p>
    <w:p w:rsidR="00977D49" w:rsidRPr="00FB7A03" w:rsidRDefault="00977D49" w:rsidP="00977D49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ab/>
      </w:r>
      <w:r w:rsidRPr="00FB7A03">
        <w:rPr>
          <w:rFonts w:ascii="Tahoma" w:hAnsi="Tahoma" w:cs="Tahoma"/>
          <w:sz w:val="20"/>
          <w:szCs w:val="20"/>
        </w:rPr>
        <w:tab/>
      </w:r>
    </w:p>
    <w:p w:rsidR="00A3448F" w:rsidRPr="00FB7A03" w:rsidRDefault="00A3448F" w:rsidP="006D637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 xml:space="preserve">Przedmiot zamówienia </w:t>
      </w:r>
    </w:p>
    <w:p w:rsidR="00A3448F" w:rsidRPr="00FB7A03" w:rsidRDefault="00A3448F" w:rsidP="00977D49">
      <w:pPr>
        <w:widowControl w:val="0"/>
        <w:shd w:val="clear" w:color="auto" w:fill="FFFFFF"/>
        <w:tabs>
          <w:tab w:val="left" w:pos="426"/>
        </w:tabs>
        <w:suppressAutoHyphens/>
        <w:autoSpaceDE w:val="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FB7A03">
        <w:rPr>
          <w:rFonts w:ascii="Tahoma" w:hAnsi="Tahoma" w:cs="Tahoma"/>
          <w:color w:val="000000"/>
          <w:sz w:val="20"/>
          <w:szCs w:val="20"/>
        </w:rPr>
        <w:t xml:space="preserve">Przedmiotem </w:t>
      </w:r>
      <w:r w:rsidR="00A26514" w:rsidRPr="00FB7A03">
        <w:rPr>
          <w:rFonts w:ascii="Tahoma" w:hAnsi="Tahoma" w:cs="Tahoma"/>
          <w:color w:val="000000"/>
          <w:sz w:val="20"/>
          <w:szCs w:val="20"/>
        </w:rPr>
        <w:t xml:space="preserve">niniejszego </w:t>
      </w:r>
      <w:r w:rsidR="00070CF0" w:rsidRPr="00FB7A03">
        <w:rPr>
          <w:rFonts w:ascii="Tahoma" w:hAnsi="Tahoma" w:cs="Tahoma"/>
          <w:color w:val="000000"/>
          <w:sz w:val="20"/>
          <w:szCs w:val="20"/>
        </w:rPr>
        <w:t>postępowania</w:t>
      </w:r>
      <w:r w:rsidRPr="00FB7A03">
        <w:rPr>
          <w:rFonts w:ascii="Tahoma" w:hAnsi="Tahoma" w:cs="Tahoma"/>
          <w:color w:val="000000"/>
          <w:sz w:val="20"/>
          <w:szCs w:val="20"/>
        </w:rPr>
        <w:t xml:space="preserve"> jest odpłatne świadczenie przez </w:t>
      </w:r>
      <w:r w:rsidR="00A26514" w:rsidRPr="00FB7A03">
        <w:rPr>
          <w:rFonts w:ascii="Tahoma" w:hAnsi="Tahoma" w:cs="Tahoma"/>
          <w:bCs/>
          <w:color w:val="000000"/>
          <w:sz w:val="20"/>
          <w:szCs w:val="20"/>
        </w:rPr>
        <w:t>Ubezpieczyciela</w:t>
      </w:r>
      <w:r w:rsidRPr="00FB7A03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FB7A03">
        <w:rPr>
          <w:rFonts w:ascii="Tahoma" w:hAnsi="Tahoma" w:cs="Tahoma"/>
          <w:color w:val="000000"/>
          <w:sz w:val="20"/>
          <w:szCs w:val="20"/>
        </w:rPr>
        <w:t xml:space="preserve">usługi grupowego ubezpieczenia na życie dla </w:t>
      </w:r>
      <w:bookmarkStart w:id="0" w:name="_Hlk36821852"/>
      <w:r w:rsidRPr="00FB7A03">
        <w:rPr>
          <w:rFonts w:ascii="Tahoma" w:hAnsi="Tahoma" w:cs="Tahoma"/>
          <w:sz w:val="20"/>
          <w:szCs w:val="20"/>
        </w:rPr>
        <w:t>pracowników Filharmonii Śląskiej im. Henryka Mikołaja Góreckiego w Katowicach oraz członków ich rodzin</w:t>
      </w:r>
      <w:bookmarkEnd w:id="0"/>
      <w:r w:rsidRPr="00FB7A03">
        <w:rPr>
          <w:rFonts w:ascii="Tahoma" w:hAnsi="Tahoma" w:cs="Tahoma"/>
          <w:sz w:val="20"/>
          <w:szCs w:val="20"/>
        </w:rPr>
        <w:t>.</w:t>
      </w:r>
      <w:r w:rsidRPr="00FB7A03">
        <w:rPr>
          <w:rFonts w:ascii="Tahoma" w:hAnsi="Tahoma" w:cs="Tahoma"/>
          <w:color w:val="000000"/>
          <w:sz w:val="20"/>
          <w:szCs w:val="20"/>
        </w:rPr>
        <w:tab/>
      </w:r>
    </w:p>
    <w:p w:rsidR="00A3448F" w:rsidRPr="00FB7A03" w:rsidRDefault="00A3448F" w:rsidP="00977D49">
      <w:pPr>
        <w:widowControl w:val="0"/>
        <w:shd w:val="clear" w:color="auto" w:fill="FFFFFF"/>
        <w:tabs>
          <w:tab w:val="left" w:pos="426"/>
        </w:tabs>
        <w:suppressAutoHyphens/>
        <w:autoSpaceDE w:val="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:rsidR="00A3448F" w:rsidRPr="00FB7A03" w:rsidRDefault="00A3448F" w:rsidP="006D637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b/>
          <w:color w:val="0F243E"/>
          <w:sz w:val="20"/>
          <w:szCs w:val="20"/>
        </w:rPr>
      </w:pPr>
      <w:r w:rsidRPr="00FB7A03">
        <w:rPr>
          <w:rFonts w:ascii="Tahoma" w:hAnsi="Tahoma" w:cs="Tahoma"/>
          <w:b/>
          <w:bCs/>
          <w:color w:val="000000"/>
          <w:sz w:val="20"/>
          <w:szCs w:val="20"/>
        </w:rPr>
        <w:t>Zakres ubezpieczenia:</w:t>
      </w:r>
    </w:p>
    <w:p w:rsidR="00A3448F" w:rsidRPr="00FB7A03" w:rsidRDefault="00A3448F" w:rsidP="00977D49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FB7A03">
        <w:rPr>
          <w:rFonts w:ascii="Tahoma" w:hAnsi="Tahoma" w:cs="Tahoma"/>
          <w:bCs/>
          <w:sz w:val="20"/>
          <w:szCs w:val="20"/>
        </w:rPr>
        <w:t xml:space="preserve">Pracownicy </w:t>
      </w:r>
      <w:r w:rsidRPr="00FB7A03">
        <w:rPr>
          <w:rFonts w:ascii="Tahoma" w:hAnsi="Tahoma" w:cs="Tahoma"/>
          <w:sz w:val="20"/>
          <w:szCs w:val="20"/>
        </w:rPr>
        <w:t xml:space="preserve">Filharmonii Śląskiej im. Henryka Mikołaja Góreckiego w Katowicach - zwani dalej „pracownikami </w:t>
      </w:r>
      <w:r w:rsidR="001D0DBB" w:rsidRPr="00FB7A03">
        <w:rPr>
          <w:rFonts w:ascii="Tahoma" w:hAnsi="Tahoma" w:cs="Tahoma"/>
          <w:sz w:val="20"/>
          <w:szCs w:val="20"/>
        </w:rPr>
        <w:t>Ubezpieczajacego</w:t>
      </w:r>
      <w:r w:rsidRPr="00FB7A03">
        <w:rPr>
          <w:rFonts w:ascii="Tahoma" w:hAnsi="Tahoma" w:cs="Tahoma"/>
          <w:sz w:val="20"/>
          <w:szCs w:val="20"/>
        </w:rPr>
        <w:t xml:space="preserve">” (albo zamiennie „pracownikami”) </w:t>
      </w:r>
      <w:r w:rsidRPr="00FB7A03">
        <w:rPr>
          <w:rFonts w:ascii="Tahoma" w:hAnsi="Tahoma" w:cs="Tahoma"/>
          <w:bCs/>
          <w:sz w:val="20"/>
          <w:szCs w:val="20"/>
        </w:rPr>
        <w:t xml:space="preserve">oraz członkowie ich rodzin (małżonkowie oraz pełnoletnie dzieci) będą mogli przystąpić do jednego z dwóch Wariantów grupowego ubezpieczenia na życie, zróżnicowanych zakresem ochrony i wysokością świadczeń. </w:t>
      </w:r>
    </w:p>
    <w:p w:rsidR="00A3448F" w:rsidRPr="00FB7A03" w:rsidRDefault="00A3448F" w:rsidP="00977D49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FB7A03">
        <w:rPr>
          <w:rFonts w:ascii="Tahoma" w:hAnsi="Tahoma" w:cs="Tahoma"/>
          <w:bCs/>
          <w:sz w:val="20"/>
          <w:szCs w:val="20"/>
        </w:rPr>
        <w:t xml:space="preserve">Obligatoryjny zakres ochrony ubezpieczeniowej, określony rodzajem i wysokością świadczeń dla dwóch grup świadczeń, zwanych dalej Wariant I i Wariant II, zamieszczony jest w </w:t>
      </w:r>
      <w:r w:rsidR="00593A41" w:rsidRPr="00FB7A03">
        <w:rPr>
          <w:rFonts w:ascii="Tahoma" w:hAnsi="Tahoma" w:cs="Tahoma"/>
          <w:b/>
          <w:sz w:val="20"/>
          <w:szCs w:val="20"/>
        </w:rPr>
        <w:t xml:space="preserve">ZAŁĄCZNIKU NR 2 </w:t>
      </w:r>
      <w:r w:rsidRPr="00FB7A03">
        <w:rPr>
          <w:rFonts w:ascii="Tahoma" w:hAnsi="Tahoma" w:cs="Tahoma"/>
          <w:b/>
          <w:sz w:val="20"/>
          <w:szCs w:val="20"/>
        </w:rPr>
        <w:t>do ZAPYTANIA OFERTOWEGO</w:t>
      </w:r>
      <w:r w:rsidRPr="00FB7A03">
        <w:rPr>
          <w:rFonts w:ascii="Tahoma" w:hAnsi="Tahoma" w:cs="Tahoma"/>
          <w:bCs/>
          <w:sz w:val="20"/>
          <w:szCs w:val="20"/>
        </w:rPr>
        <w:t>.</w:t>
      </w:r>
    </w:p>
    <w:p w:rsidR="00A3448F" w:rsidRPr="00FB7A03" w:rsidRDefault="00A3448F" w:rsidP="00977D49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bCs/>
          <w:sz w:val="20"/>
          <w:szCs w:val="20"/>
        </w:rPr>
      </w:pPr>
    </w:p>
    <w:p w:rsidR="00A3448F" w:rsidRPr="00FB7A03" w:rsidRDefault="00A3448F" w:rsidP="006D6379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textAlignment w:val="baseline"/>
        <w:outlineLvl w:val="1"/>
        <w:rPr>
          <w:rFonts w:ascii="Tahoma" w:hAnsi="Tahoma" w:cs="Tahoma"/>
          <w:b/>
          <w:bCs/>
          <w:iCs/>
          <w:sz w:val="20"/>
          <w:szCs w:val="20"/>
        </w:rPr>
      </w:pPr>
      <w:r w:rsidRPr="00FB7A03">
        <w:rPr>
          <w:rFonts w:ascii="Tahoma" w:hAnsi="Tahoma" w:cs="Tahoma"/>
          <w:b/>
          <w:bCs/>
          <w:iCs/>
          <w:sz w:val="20"/>
          <w:szCs w:val="20"/>
        </w:rPr>
        <w:t>Uprawnieni do ubezpieczenia, wiek wstępu</w:t>
      </w:r>
    </w:p>
    <w:p w:rsidR="00A3448F" w:rsidRPr="00FB7A03" w:rsidRDefault="00A3448F" w:rsidP="00977D49">
      <w:pPr>
        <w:tabs>
          <w:tab w:val="num" w:pos="4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Wraz z zawarciem umowy lub w trakcie jej trwania do ubezpieczenia będą mieli prawo przystąpić pracownicy </w:t>
      </w:r>
      <w:r w:rsidR="00A26514" w:rsidRPr="00FB7A03">
        <w:rPr>
          <w:rFonts w:ascii="Tahoma" w:hAnsi="Tahoma" w:cs="Tahoma"/>
          <w:sz w:val="20"/>
          <w:szCs w:val="20"/>
        </w:rPr>
        <w:t xml:space="preserve">Filharmonii Śląskiej im. Henryka Mikołaja Góreckiego w Katowicach </w:t>
      </w:r>
      <w:r w:rsidRPr="00FB7A03">
        <w:rPr>
          <w:rFonts w:ascii="Tahoma" w:hAnsi="Tahoma" w:cs="Tahoma"/>
          <w:sz w:val="20"/>
          <w:szCs w:val="20"/>
        </w:rPr>
        <w:t>oraz członkowie ich rodzin, którzy w dniu złożenia deklaracji przystąpienia ukończyli 18 rok życia i nie ukończyli 69 roku życia. Osoby, które przystąpią do ubezpieczenia przed ukończeniem 69 roku życia będą objęte pełnym zakresem ochrony ubezpieczeniowej przez cały okres trwania umowy zawartej w drodze niniejszego postępowania.</w:t>
      </w:r>
    </w:p>
    <w:p w:rsidR="00A3448F" w:rsidRPr="00FB7A03" w:rsidRDefault="00A3448F" w:rsidP="00977D4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ahoma" w:hAnsi="Tahoma" w:cs="Tahoma"/>
          <w:sz w:val="20"/>
          <w:szCs w:val="20"/>
        </w:rPr>
      </w:pPr>
    </w:p>
    <w:p w:rsidR="00A3448F" w:rsidRPr="00FB7A03" w:rsidRDefault="00A3448F" w:rsidP="006D6379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textAlignment w:val="baseline"/>
        <w:outlineLvl w:val="1"/>
        <w:rPr>
          <w:rFonts w:ascii="Tahoma" w:hAnsi="Tahoma" w:cs="Tahoma"/>
          <w:b/>
          <w:bCs/>
          <w:iCs/>
          <w:sz w:val="20"/>
          <w:szCs w:val="20"/>
        </w:rPr>
      </w:pPr>
      <w:bookmarkStart w:id="1" w:name="_Toc232401398"/>
      <w:r w:rsidRPr="00FB7A03">
        <w:rPr>
          <w:rFonts w:ascii="Tahoma" w:hAnsi="Tahoma" w:cs="Tahoma"/>
          <w:b/>
          <w:bCs/>
          <w:iCs/>
          <w:sz w:val="20"/>
          <w:szCs w:val="20"/>
        </w:rPr>
        <w:t>Ubezpieczenie małżonków oraz pełnoletnich dzieci</w:t>
      </w:r>
      <w:bookmarkEnd w:id="1"/>
    </w:p>
    <w:p w:rsidR="00A3448F" w:rsidRPr="00FB7A03" w:rsidRDefault="00A3448F" w:rsidP="00977D49">
      <w:p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Do umowy grupowego ubezpieczenia na życie mogą przystąpić również małżonkowie oraz pełnoletnie dzieci pracowników, o ile sam pracownik przystąpi do ubezpieczenia lub jest on już ubezpieczony.</w:t>
      </w:r>
    </w:p>
    <w:p w:rsidR="00A3448F" w:rsidRPr="00FB7A03" w:rsidRDefault="00A3448F" w:rsidP="00977D49">
      <w:p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3448F" w:rsidRPr="00FB7A03" w:rsidRDefault="00A3448F" w:rsidP="006D6379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textAlignment w:val="baseline"/>
        <w:outlineLvl w:val="1"/>
        <w:rPr>
          <w:rFonts w:ascii="Tahoma" w:hAnsi="Tahoma" w:cs="Tahoma"/>
          <w:b/>
          <w:bCs/>
          <w:iCs/>
          <w:sz w:val="20"/>
          <w:szCs w:val="20"/>
        </w:rPr>
      </w:pPr>
      <w:r w:rsidRPr="00FB7A03">
        <w:rPr>
          <w:rFonts w:ascii="Tahoma" w:hAnsi="Tahoma" w:cs="Tahoma"/>
          <w:b/>
          <w:bCs/>
          <w:iCs/>
          <w:sz w:val="20"/>
          <w:szCs w:val="20"/>
        </w:rPr>
        <w:t>Poziom partycypacji</w:t>
      </w:r>
    </w:p>
    <w:p w:rsidR="00A3448F" w:rsidRPr="00FB7A03" w:rsidRDefault="00A26514" w:rsidP="00977D49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Ubezpieczający</w:t>
      </w:r>
      <w:r w:rsidR="00A3448F" w:rsidRPr="00FB7A03">
        <w:rPr>
          <w:rFonts w:ascii="Tahoma" w:hAnsi="Tahoma" w:cs="Tahoma"/>
          <w:sz w:val="20"/>
          <w:szCs w:val="20"/>
        </w:rPr>
        <w:t xml:space="preserve">, z uwagi na dobrowolny charakter ubezpieczenia, nie gwarantuje przystąpienia </w:t>
      </w:r>
      <w:r w:rsidR="00A3448F" w:rsidRPr="00FB7A03">
        <w:rPr>
          <w:rFonts w:ascii="Tahoma" w:hAnsi="Tahoma" w:cs="Tahoma"/>
          <w:sz w:val="20"/>
          <w:szCs w:val="20"/>
        </w:rPr>
        <w:br/>
        <w:t>do ubezpieczenia określonej liczby pracowników.</w:t>
      </w:r>
    </w:p>
    <w:p w:rsidR="00A3448F" w:rsidRPr="00FB7A03" w:rsidRDefault="00A26514" w:rsidP="00977D49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Ubezpieczający </w:t>
      </w:r>
      <w:r w:rsidR="00A3448F" w:rsidRPr="00FB7A03">
        <w:rPr>
          <w:rFonts w:ascii="Tahoma" w:hAnsi="Tahoma" w:cs="Tahoma"/>
          <w:sz w:val="20"/>
          <w:szCs w:val="20"/>
        </w:rPr>
        <w:t xml:space="preserve">zakłada, że poziom partycypacji wyniesie </w:t>
      </w:r>
      <w:r w:rsidR="00787C6F" w:rsidRPr="00FB7A03">
        <w:rPr>
          <w:rFonts w:ascii="Tahoma" w:hAnsi="Tahoma" w:cs="Tahoma"/>
          <w:sz w:val="20"/>
          <w:szCs w:val="20"/>
        </w:rPr>
        <w:t>5</w:t>
      </w:r>
      <w:r w:rsidR="00A3448F" w:rsidRPr="00FB7A03">
        <w:rPr>
          <w:rFonts w:ascii="Tahoma" w:hAnsi="Tahoma" w:cs="Tahoma"/>
          <w:sz w:val="20"/>
          <w:szCs w:val="20"/>
        </w:rPr>
        <w:t xml:space="preserve">0% grupy pracowników uprawnionych </w:t>
      </w:r>
      <w:r w:rsidR="00A3448F" w:rsidRPr="00FB7A03">
        <w:rPr>
          <w:rFonts w:ascii="Tahoma" w:hAnsi="Tahoma" w:cs="Tahoma"/>
          <w:sz w:val="20"/>
          <w:szCs w:val="20"/>
        </w:rPr>
        <w:br/>
        <w:t xml:space="preserve">do przystąpienia do nowego programu grupowego ubezpieczenia na życie, zgodnie z wykazem znajdującym się w </w:t>
      </w:r>
      <w:r w:rsidR="00A3448F" w:rsidRPr="00FB7A03">
        <w:rPr>
          <w:rFonts w:ascii="Tahoma" w:hAnsi="Tahoma" w:cs="Tahoma"/>
          <w:b/>
          <w:bCs/>
          <w:sz w:val="20"/>
          <w:szCs w:val="20"/>
        </w:rPr>
        <w:t>ZAŁĄCZNIKU</w:t>
      </w:r>
      <w:r w:rsidR="00A3448F" w:rsidRPr="00FB7A03">
        <w:rPr>
          <w:rFonts w:ascii="Tahoma" w:hAnsi="Tahoma" w:cs="Tahoma"/>
          <w:b/>
          <w:sz w:val="20"/>
          <w:szCs w:val="20"/>
        </w:rPr>
        <w:t xml:space="preserve"> NR </w:t>
      </w:r>
      <w:r w:rsidR="006D6379" w:rsidRPr="00FB7A03">
        <w:rPr>
          <w:rFonts w:ascii="Tahoma" w:hAnsi="Tahoma" w:cs="Tahoma"/>
          <w:b/>
          <w:sz w:val="20"/>
          <w:szCs w:val="20"/>
        </w:rPr>
        <w:t>1</w:t>
      </w:r>
      <w:r w:rsidR="00A3448F" w:rsidRPr="00FB7A03">
        <w:rPr>
          <w:rFonts w:ascii="Tahoma" w:hAnsi="Tahoma" w:cs="Tahoma"/>
          <w:b/>
          <w:sz w:val="20"/>
          <w:szCs w:val="20"/>
        </w:rPr>
        <w:t xml:space="preserve"> do ZAPYTANIA OFERTOWEGO</w:t>
      </w:r>
      <w:r w:rsidR="00A3448F" w:rsidRPr="00FB7A03">
        <w:rPr>
          <w:rFonts w:ascii="Tahoma" w:hAnsi="Tahoma" w:cs="Tahoma"/>
          <w:sz w:val="20"/>
          <w:szCs w:val="20"/>
        </w:rPr>
        <w:t>.</w:t>
      </w:r>
    </w:p>
    <w:p w:rsidR="00A3448F" w:rsidRPr="00FB7A03" w:rsidRDefault="00A3448F" w:rsidP="00977D49">
      <w:pPr>
        <w:tabs>
          <w:tab w:val="num" w:pos="4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ab/>
      </w:r>
      <w:r w:rsidR="00A26514" w:rsidRPr="00FB7A03">
        <w:rPr>
          <w:rFonts w:ascii="Tahoma" w:hAnsi="Tahoma" w:cs="Tahoma"/>
          <w:sz w:val="20"/>
          <w:szCs w:val="20"/>
        </w:rPr>
        <w:t>Ubezpieczyciel</w:t>
      </w:r>
      <w:r w:rsidRPr="00FB7A03">
        <w:rPr>
          <w:rFonts w:ascii="Tahoma" w:hAnsi="Tahoma" w:cs="Tahoma"/>
          <w:sz w:val="20"/>
          <w:szCs w:val="20"/>
        </w:rPr>
        <w:t xml:space="preserve"> nie będzie uzależniał ważności oferty od poziomu partycypacji.</w:t>
      </w:r>
    </w:p>
    <w:p w:rsidR="00A3448F" w:rsidRPr="00FB7A03" w:rsidRDefault="00A3448F" w:rsidP="00977D49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Zmniejszenie się poziomu partycypacji, poniżej wymaganego poziomu po wejściu w życie umowy ubezpieczenia, nie będzie miało wpływu na trwanie i kształt umowy ubezpieczenia. </w:t>
      </w:r>
    </w:p>
    <w:p w:rsidR="00A3448F" w:rsidRPr="00FB7A03" w:rsidRDefault="00A3448F" w:rsidP="00977D49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Brak gwarancji przystąpienia do ubezpieczenia określonej liczby osób nie jest naruszeniem równości stron jak również nie może być uznane za ograniczenie konkurencyjności. Ubezpieczenie jest dobrowolne, </w:t>
      </w:r>
      <w:r w:rsidRPr="00FB7A03">
        <w:rPr>
          <w:rFonts w:ascii="Tahoma" w:hAnsi="Tahoma" w:cs="Tahoma"/>
          <w:sz w:val="20"/>
          <w:szCs w:val="20"/>
        </w:rPr>
        <w:br/>
        <w:t xml:space="preserve">a </w:t>
      </w:r>
      <w:r w:rsidR="00A26514" w:rsidRPr="00FB7A03">
        <w:rPr>
          <w:rFonts w:ascii="Tahoma" w:hAnsi="Tahoma" w:cs="Tahoma"/>
          <w:sz w:val="20"/>
          <w:szCs w:val="20"/>
        </w:rPr>
        <w:t xml:space="preserve">Ubezpieczający </w:t>
      </w:r>
      <w:r w:rsidRPr="00FB7A03">
        <w:rPr>
          <w:rFonts w:ascii="Tahoma" w:hAnsi="Tahoma" w:cs="Tahoma"/>
          <w:sz w:val="20"/>
          <w:szCs w:val="20"/>
        </w:rPr>
        <w:t>nie może zobowiązać pracowników, by do niego przystąpili.</w:t>
      </w:r>
    </w:p>
    <w:p w:rsidR="00A3448F" w:rsidRPr="00FB7A03" w:rsidRDefault="00A3448F" w:rsidP="00977D49">
      <w:pPr>
        <w:tabs>
          <w:tab w:val="num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3448F" w:rsidRPr="00FB7A03" w:rsidRDefault="00A3448F" w:rsidP="006D6379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1"/>
        <w:rPr>
          <w:rFonts w:ascii="Tahoma" w:hAnsi="Tahoma" w:cs="Tahoma"/>
          <w:bCs/>
          <w:sz w:val="20"/>
          <w:szCs w:val="20"/>
        </w:rPr>
      </w:pPr>
      <w:r w:rsidRPr="00FB7A03">
        <w:rPr>
          <w:rFonts w:ascii="Tahoma" w:hAnsi="Tahoma" w:cs="Tahoma"/>
          <w:b/>
          <w:bCs/>
          <w:sz w:val="20"/>
          <w:szCs w:val="20"/>
        </w:rPr>
        <w:t>Składka ubezpieczeniowa</w:t>
      </w:r>
    </w:p>
    <w:p w:rsidR="00A3448F" w:rsidRPr="00FB7A03" w:rsidRDefault="00A3448F" w:rsidP="00977D49">
      <w:pPr>
        <w:keepNext/>
        <w:autoSpaceDN w:val="0"/>
        <w:ind w:left="426"/>
        <w:jc w:val="both"/>
        <w:outlineLvl w:val="1"/>
        <w:rPr>
          <w:rFonts w:ascii="Tahoma" w:hAnsi="Tahoma" w:cs="Tahoma"/>
          <w:bCs/>
          <w:iCs/>
          <w:sz w:val="20"/>
          <w:szCs w:val="20"/>
        </w:rPr>
      </w:pPr>
      <w:r w:rsidRPr="00FB7A03">
        <w:rPr>
          <w:rFonts w:ascii="Tahoma" w:hAnsi="Tahoma" w:cs="Tahoma"/>
          <w:bCs/>
          <w:iCs/>
          <w:sz w:val="20"/>
          <w:szCs w:val="20"/>
        </w:rPr>
        <w:t xml:space="preserve">Maksymalna wysokość składki jaką </w:t>
      </w:r>
      <w:r w:rsidRPr="00FB7A03">
        <w:rPr>
          <w:rFonts w:ascii="Tahoma" w:hAnsi="Tahoma" w:cs="Tahoma"/>
          <w:sz w:val="20"/>
          <w:szCs w:val="20"/>
        </w:rPr>
        <w:t xml:space="preserve">pracownicy Filharmonii Śląskiej im. Henryka Mikołaja Góreckiego </w:t>
      </w:r>
      <w:r w:rsidRPr="00FB7A03">
        <w:rPr>
          <w:rFonts w:ascii="Tahoma" w:hAnsi="Tahoma" w:cs="Tahoma"/>
          <w:sz w:val="20"/>
          <w:szCs w:val="20"/>
        </w:rPr>
        <w:br/>
        <w:t xml:space="preserve">w Katowicach oraz </w:t>
      </w:r>
      <w:r w:rsidRPr="00FB7A03">
        <w:rPr>
          <w:rFonts w:ascii="Tahoma" w:hAnsi="Tahoma" w:cs="Tahoma"/>
          <w:bCs/>
          <w:iCs/>
          <w:sz w:val="20"/>
          <w:szCs w:val="20"/>
        </w:rPr>
        <w:t>członkowie ich rodzin deklarują opłacić co miesiąc wynosi:</w:t>
      </w:r>
    </w:p>
    <w:p w:rsidR="00A3448F" w:rsidRPr="00FB7A03" w:rsidRDefault="00A3448F" w:rsidP="00977D49">
      <w:pPr>
        <w:keepNext/>
        <w:autoSpaceDN w:val="0"/>
        <w:ind w:left="426"/>
        <w:outlineLvl w:val="1"/>
        <w:rPr>
          <w:rFonts w:ascii="Tahoma" w:hAnsi="Tahoma" w:cs="Tahoma"/>
          <w:bCs/>
          <w:iCs/>
          <w:sz w:val="20"/>
          <w:szCs w:val="20"/>
        </w:rPr>
      </w:pPr>
      <w:r w:rsidRPr="00FB7A03">
        <w:rPr>
          <w:rFonts w:ascii="Tahoma" w:hAnsi="Tahoma" w:cs="Tahoma"/>
          <w:bCs/>
          <w:iCs/>
          <w:sz w:val="20"/>
          <w:szCs w:val="20"/>
        </w:rPr>
        <w:t xml:space="preserve">Wariant I </w:t>
      </w:r>
      <w:r w:rsidR="00787C6F" w:rsidRPr="00FB7A03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B7A03">
        <w:rPr>
          <w:rFonts w:ascii="Tahoma" w:hAnsi="Tahoma" w:cs="Tahoma"/>
          <w:bCs/>
          <w:iCs/>
          <w:sz w:val="20"/>
          <w:szCs w:val="20"/>
        </w:rPr>
        <w:t>– 6</w:t>
      </w:r>
      <w:r w:rsidR="00593A41" w:rsidRPr="00FB7A03">
        <w:rPr>
          <w:rFonts w:ascii="Tahoma" w:hAnsi="Tahoma" w:cs="Tahoma"/>
          <w:bCs/>
          <w:iCs/>
          <w:sz w:val="20"/>
          <w:szCs w:val="20"/>
        </w:rPr>
        <w:t>0</w:t>
      </w:r>
      <w:r w:rsidRPr="00FB7A03">
        <w:rPr>
          <w:rFonts w:ascii="Tahoma" w:hAnsi="Tahoma" w:cs="Tahoma"/>
          <w:bCs/>
          <w:iCs/>
          <w:sz w:val="20"/>
          <w:szCs w:val="20"/>
        </w:rPr>
        <w:t xml:space="preserve">,00 zł </w:t>
      </w:r>
    </w:p>
    <w:p w:rsidR="00A3448F" w:rsidRPr="00FB7A03" w:rsidRDefault="00A3448F" w:rsidP="00977D49">
      <w:pPr>
        <w:keepNext/>
        <w:autoSpaceDN w:val="0"/>
        <w:ind w:left="426"/>
        <w:outlineLvl w:val="1"/>
        <w:rPr>
          <w:rFonts w:ascii="Tahoma" w:hAnsi="Tahoma" w:cs="Tahoma"/>
          <w:bCs/>
          <w:iCs/>
          <w:sz w:val="20"/>
          <w:szCs w:val="20"/>
        </w:rPr>
      </w:pPr>
      <w:r w:rsidRPr="00FB7A03">
        <w:rPr>
          <w:rFonts w:ascii="Tahoma" w:hAnsi="Tahoma" w:cs="Tahoma"/>
          <w:bCs/>
          <w:iCs/>
          <w:sz w:val="20"/>
          <w:szCs w:val="20"/>
        </w:rPr>
        <w:t xml:space="preserve">Wariant II – </w:t>
      </w:r>
      <w:r w:rsidR="00593A41" w:rsidRPr="00FB7A03">
        <w:rPr>
          <w:rFonts w:ascii="Tahoma" w:hAnsi="Tahoma" w:cs="Tahoma"/>
          <w:bCs/>
          <w:iCs/>
          <w:sz w:val="20"/>
          <w:szCs w:val="20"/>
        </w:rPr>
        <w:t>65</w:t>
      </w:r>
      <w:r w:rsidRPr="00FB7A03">
        <w:rPr>
          <w:rFonts w:ascii="Tahoma" w:hAnsi="Tahoma" w:cs="Tahoma"/>
          <w:bCs/>
          <w:iCs/>
          <w:sz w:val="20"/>
          <w:szCs w:val="20"/>
        </w:rPr>
        <w:t xml:space="preserve">,00 zł </w:t>
      </w:r>
    </w:p>
    <w:p w:rsidR="00A3448F" w:rsidRPr="00FB7A03" w:rsidRDefault="00A3448F" w:rsidP="00977D49">
      <w:pPr>
        <w:keepNext/>
        <w:ind w:left="426"/>
        <w:outlineLvl w:val="1"/>
        <w:rPr>
          <w:rFonts w:ascii="Tahoma" w:hAnsi="Tahoma" w:cs="Tahoma"/>
          <w:bCs/>
          <w:sz w:val="20"/>
          <w:szCs w:val="20"/>
        </w:rPr>
      </w:pPr>
    </w:p>
    <w:p w:rsidR="00A3448F" w:rsidRPr="00FB7A03" w:rsidRDefault="00A3448F" w:rsidP="006D6379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textAlignment w:val="baseline"/>
        <w:outlineLvl w:val="1"/>
        <w:rPr>
          <w:rFonts w:ascii="Tahoma" w:hAnsi="Tahoma" w:cs="Tahoma"/>
          <w:bCs/>
          <w:sz w:val="20"/>
          <w:szCs w:val="20"/>
        </w:rPr>
      </w:pPr>
      <w:r w:rsidRPr="00FB7A03">
        <w:rPr>
          <w:rFonts w:ascii="Tahoma" w:hAnsi="Tahoma" w:cs="Tahoma"/>
          <w:b/>
          <w:bCs/>
          <w:sz w:val="20"/>
          <w:szCs w:val="20"/>
        </w:rPr>
        <w:t>Częstotliwość płatności składki</w:t>
      </w:r>
      <w:r w:rsidRPr="00FB7A03">
        <w:rPr>
          <w:rFonts w:ascii="Tahoma" w:hAnsi="Tahoma" w:cs="Tahoma"/>
          <w:bCs/>
          <w:sz w:val="20"/>
          <w:szCs w:val="20"/>
        </w:rPr>
        <w:t>: miesięczna.</w:t>
      </w:r>
    </w:p>
    <w:p w:rsidR="00A3448F" w:rsidRPr="00FB7A03" w:rsidRDefault="00A3448F" w:rsidP="00977D49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</w:p>
    <w:p w:rsidR="00A3448F" w:rsidRPr="00FB7A03" w:rsidRDefault="00A3448F" w:rsidP="006D6379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textAlignment w:val="baseline"/>
        <w:outlineLvl w:val="1"/>
        <w:rPr>
          <w:rFonts w:ascii="Tahoma" w:hAnsi="Tahoma" w:cs="Tahoma"/>
          <w:b/>
          <w:bCs/>
          <w:sz w:val="20"/>
          <w:szCs w:val="20"/>
        </w:rPr>
      </w:pPr>
      <w:r w:rsidRPr="00FB7A03">
        <w:rPr>
          <w:rFonts w:ascii="Tahoma" w:hAnsi="Tahoma" w:cs="Tahoma"/>
          <w:b/>
          <w:bCs/>
          <w:sz w:val="20"/>
          <w:szCs w:val="20"/>
        </w:rPr>
        <w:t>Weryfikacja medyczna</w:t>
      </w:r>
    </w:p>
    <w:p w:rsidR="00A3448F" w:rsidRPr="00FB7A03" w:rsidRDefault="005C0D71" w:rsidP="00977D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7"/>
        <w:jc w:val="both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Ubezpieczający</w:t>
      </w:r>
      <w:r w:rsidR="00A3448F" w:rsidRPr="00FB7A03">
        <w:rPr>
          <w:rFonts w:ascii="Tahoma" w:hAnsi="Tahoma" w:cs="Tahoma"/>
          <w:sz w:val="20"/>
          <w:szCs w:val="20"/>
        </w:rPr>
        <w:t xml:space="preserve"> nie dopuszcza żądania przez </w:t>
      </w:r>
      <w:r w:rsidRPr="00FB7A03">
        <w:rPr>
          <w:rFonts w:ascii="Tahoma" w:hAnsi="Tahoma" w:cs="Tahoma"/>
          <w:sz w:val="20"/>
          <w:szCs w:val="20"/>
        </w:rPr>
        <w:t>Ubezpieczyciela</w:t>
      </w:r>
      <w:r w:rsidR="00A3448F" w:rsidRPr="00FB7A03">
        <w:rPr>
          <w:rFonts w:ascii="Tahoma" w:hAnsi="Tahoma" w:cs="Tahoma"/>
          <w:sz w:val="20"/>
          <w:szCs w:val="20"/>
        </w:rPr>
        <w:t xml:space="preserve">, wypełniania ankiet i kwestionariuszy medycznych, ani żadnych innych form oceny stanu zdrowia </w:t>
      </w:r>
      <w:r w:rsidR="00A3448F" w:rsidRPr="00FB7A03">
        <w:rPr>
          <w:rFonts w:ascii="Tahoma" w:hAnsi="Tahoma" w:cs="Tahoma"/>
          <w:noProof/>
          <w:spacing w:val="-5"/>
          <w:sz w:val="20"/>
          <w:szCs w:val="20"/>
        </w:rPr>
        <w:t>pracowników, a także dotychczas ubezpieczonych (</w:t>
      </w:r>
      <w:r w:rsidR="00A3448F" w:rsidRPr="00FB7A03">
        <w:rPr>
          <w:rFonts w:ascii="Tahoma" w:hAnsi="Tahoma" w:cs="Tahoma"/>
          <w:noProof/>
          <w:sz w:val="20"/>
          <w:szCs w:val="20"/>
        </w:rPr>
        <w:t>to jest ubezpieczonych w ramach umowy ubezpieczenia grupowego na życie na dzień przed początkiem ochrony ubezpieczeniowej)</w:t>
      </w:r>
      <w:r w:rsidR="00A3448F" w:rsidRPr="00FB7A03">
        <w:rPr>
          <w:rFonts w:ascii="Tahoma" w:hAnsi="Tahoma" w:cs="Tahoma"/>
          <w:noProof/>
          <w:spacing w:val="-5"/>
          <w:sz w:val="20"/>
          <w:szCs w:val="20"/>
        </w:rPr>
        <w:t xml:space="preserve"> i dotychczas ubezpieczonych </w:t>
      </w:r>
      <w:r w:rsidR="00A3448F" w:rsidRPr="00FB7A03">
        <w:rPr>
          <w:rFonts w:ascii="Tahoma" w:hAnsi="Tahoma" w:cs="Tahoma"/>
          <w:sz w:val="20"/>
          <w:szCs w:val="20"/>
        </w:rPr>
        <w:t>członków rodzin pracowników, jeżeli osoby te przystąpią do ubezpieczenia w ciągu 3 miesięcy od daty początkowej, tj. od dnia 01.11.2020r. poprzez złożenie deklaracji przystąpienia, a także:</w:t>
      </w:r>
    </w:p>
    <w:p w:rsidR="00A3448F" w:rsidRPr="00FB7A03" w:rsidRDefault="00A3448F" w:rsidP="006D6379">
      <w:pPr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ind w:left="851" w:right="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przed upływem 3 miesięcy liczonych od nawiązania stosunku prawnego, jeżeli stosunek prawny Ubezpieczonego z Ubezpieczającym powstał po początku ochrony ubezpieczeniowej (dotyczy zarówno pracowników, jak i członków ich rodzin),</w:t>
      </w:r>
    </w:p>
    <w:p w:rsidR="00A3448F" w:rsidRPr="00FB7A03" w:rsidRDefault="00A3448F" w:rsidP="006D6379">
      <w:pPr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ind w:left="851" w:right="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przed upływem 3 miesięcy liczonych od nabycia uprawnienia do przystąpienia do ubezpieczenia małżonków i pełnoletnich dzieci, tzn. w przypadku małżonka – 3 miesiące od daty ślubu, w przypadku dziecka – 3 miesiące od ukończenia 18 roku życia.</w:t>
      </w:r>
    </w:p>
    <w:p w:rsidR="00593A41" w:rsidRPr="00FB7A03" w:rsidRDefault="00593A41" w:rsidP="00977D49">
      <w:pPr>
        <w:widowControl w:val="0"/>
        <w:shd w:val="clear" w:color="auto" w:fill="FFFFFF"/>
        <w:overflowPunct w:val="0"/>
        <w:autoSpaceDE w:val="0"/>
        <w:autoSpaceDN w:val="0"/>
        <w:adjustRightInd w:val="0"/>
        <w:ind w:right="7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3448F" w:rsidRPr="00FB7A03" w:rsidRDefault="00A3448F" w:rsidP="006D6379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textAlignment w:val="baseline"/>
        <w:outlineLvl w:val="1"/>
        <w:rPr>
          <w:rStyle w:val="Pogrubienie"/>
          <w:rFonts w:ascii="Tahoma" w:hAnsi="Tahoma" w:cs="Tahoma"/>
          <w:bCs w:val="0"/>
          <w:sz w:val="20"/>
          <w:szCs w:val="20"/>
        </w:rPr>
      </w:pPr>
      <w:r w:rsidRPr="00FB7A03">
        <w:rPr>
          <w:rStyle w:val="Pogrubienie"/>
          <w:rFonts w:ascii="Tahoma" w:hAnsi="Tahoma" w:cs="Tahoma"/>
          <w:bCs w:val="0"/>
          <w:sz w:val="20"/>
          <w:szCs w:val="20"/>
        </w:rPr>
        <w:t>Karencja</w:t>
      </w:r>
    </w:p>
    <w:p w:rsidR="00A3448F" w:rsidRPr="00FB7A03" w:rsidRDefault="00A3448F" w:rsidP="00977D49">
      <w:pPr>
        <w:keepNext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ascii="Tahoma" w:hAnsi="Tahoma" w:cs="Tahoma"/>
          <w:b/>
          <w:sz w:val="20"/>
          <w:szCs w:val="20"/>
        </w:rPr>
      </w:pPr>
      <w:r w:rsidRPr="00FB7A03">
        <w:rPr>
          <w:rFonts w:ascii="Tahoma" w:eastAsia="SimSun" w:hAnsi="Tahoma" w:cs="Tahoma"/>
          <w:sz w:val="20"/>
          <w:szCs w:val="20"/>
        </w:rPr>
        <w:t xml:space="preserve">W przypadku </w:t>
      </w:r>
      <w:r w:rsidRPr="00FB7A03">
        <w:rPr>
          <w:rStyle w:val="Pogrubienie"/>
          <w:rFonts w:ascii="Tahoma" w:hAnsi="Tahoma" w:cs="Tahoma"/>
          <w:b w:val="0"/>
          <w:bCs w:val="0"/>
          <w:sz w:val="20"/>
          <w:szCs w:val="20"/>
        </w:rPr>
        <w:t>pracowników</w:t>
      </w:r>
      <w:r w:rsidRPr="00FB7A03">
        <w:rPr>
          <w:rFonts w:ascii="Tahoma" w:eastAsia="SimSun" w:hAnsi="Tahoma" w:cs="Tahoma"/>
          <w:sz w:val="20"/>
          <w:szCs w:val="20"/>
        </w:rPr>
        <w:t xml:space="preserve">, ich małżonków i pełnoletnich dzieci przystępujących do ubezpieczenia po okresie określonym w pkt. 10. </w:t>
      </w:r>
      <w:r w:rsidR="005C0D71" w:rsidRPr="00FB7A03">
        <w:rPr>
          <w:rFonts w:ascii="Tahoma" w:eastAsia="SimSun" w:hAnsi="Tahoma" w:cs="Tahoma"/>
          <w:sz w:val="20"/>
          <w:szCs w:val="20"/>
        </w:rPr>
        <w:t>Ubezpieczający</w:t>
      </w:r>
      <w:r w:rsidRPr="00FB7A03">
        <w:rPr>
          <w:rFonts w:ascii="Tahoma" w:eastAsia="SimSun" w:hAnsi="Tahoma" w:cs="Tahoma"/>
          <w:sz w:val="20"/>
          <w:szCs w:val="20"/>
        </w:rPr>
        <w:t xml:space="preserve"> dopuszcza stosowanie następujących okresów karencji:</w:t>
      </w:r>
    </w:p>
    <w:p w:rsidR="00A3448F" w:rsidRPr="00FB7A03" w:rsidRDefault="00A3448F" w:rsidP="006D6379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9 miesięcy dla następujących świadczeń: urodzenie dziecka,</w:t>
      </w:r>
    </w:p>
    <w:p w:rsidR="00A3448F" w:rsidRPr="00FB7A03" w:rsidRDefault="00A3448F" w:rsidP="006D6379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6 miesięcy dla następujących świadczeń: śmierci ubezpieczonego, śmierci małżonka ubezpieczonego, śmierci rodzica/teścia, śmierci dziecka ubezpieczonego, operacji chirurgicznej ubezpieczonego, osierocenia dziecka przez ubezpieczonego, poważnego zachorowania małżonka, urodzenie martwego dziecka oraz pozostałe niewymienione ryzyka,</w:t>
      </w:r>
    </w:p>
    <w:p w:rsidR="00A3448F" w:rsidRPr="00FB7A03" w:rsidRDefault="00A3448F" w:rsidP="006D6379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Tahoma" w:eastAsia="Calibri" w:hAnsi="Tahoma" w:cs="Tahoma"/>
          <w:color w:val="000000"/>
          <w:spacing w:val="4"/>
          <w:sz w:val="20"/>
          <w:szCs w:val="20"/>
          <w:lang w:eastAsia="en-US"/>
        </w:rPr>
      </w:pPr>
      <w:r w:rsidRPr="00FB7A03">
        <w:rPr>
          <w:rFonts w:ascii="Tahoma" w:eastAsia="Calibri" w:hAnsi="Tahoma" w:cs="Tahoma"/>
          <w:color w:val="000000"/>
          <w:spacing w:val="4"/>
          <w:sz w:val="20"/>
          <w:szCs w:val="20"/>
          <w:lang w:eastAsia="en-US"/>
        </w:rPr>
        <w:t xml:space="preserve">3 miesiące dla </w:t>
      </w:r>
      <w:r w:rsidRPr="00FB7A03">
        <w:rPr>
          <w:rFonts w:ascii="Tahoma" w:hAnsi="Tahoma" w:cs="Tahoma"/>
          <w:sz w:val="20"/>
          <w:szCs w:val="20"/>
        </w:rPr>
        <w:t>następujących świadczeń</w:t>
      </w:r>
      <w:r w:rsidRPr="00FB7A03">
        <w:rPr>
          <w:rFonts w:ascii="Tahoma" w:eastAsia="Calibri" w:hAnsi="Tahoma" w:cs="Tahoma"/>
          <w:color w:val="000000"/>
          <w:spacing w:val="4"/>
          <w:sz w:val="20"/>
          <w:szCs w:val="20"/>
          <w:lang w:eastAsia="en-US"/>
        </w:rPr>
        <w:t>: poważnego zachorowania ubezpieczonego, poważnego zachorowania dziecka, leczenia specjalistycznego,</w:t>
      </w:r>
    </w:p>
    <w:p w:rsidR="00A3448F" w:rsidRPr="00FB7A03" w:rsidRDefault="00A3448F" w:rsidP="00977D49">
      <w:pPr>
        <w:shd w:val="clear" w:color="auto" w:fill="FFFFFF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3 miesiące dla następujących świadczeń: </w:t>
      </w:r>
      <w:bookmarkStart w:id="2" w:name="_Hlk43749419"/>
      <w:r w:rsidRPr="00FB7A03">
        <w:rPr>
          <w:rFonts w:ascii="Tahoma" w:hAnsi="Tahoma" w:cs="Tahoma"/>
          <w:sz w:val="20"/>
          <w:szCs w:val="20"/>
        </w:rPr>
        <w:t xml:space="preserve">śmierci (zgonu) </w:t>
      </w:r>
      <w:bookmarkEnd w:id="2"/>
      <w:r w:rsidRPr="00FB7A03">
        <w:rPr>
          <w:rFonts w:ascii="Tahoma" w:hAnsi="Tahoma" w:cs="Tahoma"/>
          <w:sz w:val="20"/>
          <w:szCs w:val="20"/>
        </w:rPr>
        <w:t>ubezpieczonego, śmierci (zgonu) małżonka ubezpieczonego, śmierci (zgonu) rodzica/ teścia, śmierci (zgonu) dziecka ubezpieczonego, operacji chirurgicznej Ubezpieczonego z powodu choroby, osierocenia dziecka przez ubezpieczonego, poważnego zachorowania ubezpieczonego (niespowodowanego nieszczęśliwym wypadkiem), poważnego zachorowania małżonka, poważnego zachorowania dziecka oraz pozostałe niewymienione świadczenia,</w:t>
      </w:r>
    </w:p>
    <w:p w:rsidR="00A3448F" w:rsidRPr="00FB7A03" w:rsidRDefault="00A3448F" w:rsidP="006D6379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1 miesiąc dla następujących świadczeń: pobyt w szpitalu wskutek choroby, leczenie szpitalne dziecka.</w:t>
      </w:r>
    </w:p>
    <w:p w:rsidR="00A3448F" w:rsidRPr="00FB7A03" w:rsidRDefault="00A3448F" w:rsidP="00977D49">
      <w:pPr>
        <w:keepNext/>
        <w:overflowPunct w:val="0"/>
        <w:autoSpaceDE w:val="0"/>
        <w:autoSpaceDN w:val="0"/>
        <w:adjustRightInd w:val="0"/>
        <w:ind w:left="426"/>
        <w:textAlignment w:val="baseline"/>
        <w:outlineLvl w:val="1"/>
        <w:rPr>
          <w:rFonts w:ascii="Tahoma" w:hAnsi="Tahoma" w:cs="Tahoma"/>
          <w:noProof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Karencje</w:t>
      </w:r>
      <w:r w:rsidRPr="00FB7A03">
        <w:rPr>
          <w:rFonts w:ascii="Tahoma" w:hAnsi="Tahoma" w:cs="Tahoma"/>
          <w:noProof/>
          <w:sz w:val="20"/>
          <w:szCs w:val="20"/>
        </w:rPr>
        <w:t xml:space="preserve"> nie dotyczą zdarzeń powstałych w następstwie nieszczęśliwego wypadku.</w:t>
      </w:r>
    </w:p>
    <w:p w:rsidR="00A3448F" w:rsidRPr="00FB7A03" w:rsidRDefault="00A3448F" w:rsidP="00977D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7"/>
        <w:jc w:val="both"/>
        <w:rPr>
          <w:rFonts w:ascii="Tahoma" w:hAnsi="Tahoma" w:cs="Tahoma"/>
          <w:sz w:val="20"/>
          <w:szCs w:val="20"/>
        </w:rPr>
      </w:pPr>
    </w:p>
    <w:p w:rsidR="00590033" w:rsidRPr="00FB7A03" w:rsidRDefault="00590033" w:rsidP="006D6379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FB7A03">
        <w:rPr>
          <w:rFonts w:ascii="Tahoma" w:hAnsi="Tahoma" w:cs="Tahoma"/>
          <w:b/>
          <w:bCs/>
          <w:sz w:val="20"/>
          <w:szCs w:val="20"/>
        </w:rPr>
        <w:t>Zbieg roszczeń</w:t>
      </w:r>
    </w:p>
    <w:p w:rsidR="005C0D71" w:rsidRPr="00FB7A03" w:rsidRDefault="005C0D71" w:rsidP="00977D49">
      <w:pPr>
        <w:keepNext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W przypadku, gdy zajście zdarzenia powoduje powstanie odpowiedzialności Ubezpieczyciela w stosunku </w:t>
      </w:r>
      <w:r w:rsidRPr="00FB7A03">
        <w:rPr>
          <w:rFonts w:ascii="Tahoma" w:hAnsi="Tahoma" w:cs="Tahoma"/>
          <w:sz w:val="20"/>
          <w:szCs w:val="20"/>
        </w:rPr>
        <w:br/>
        <w:t>do Ubezpieczonego z więcej niż jednego ryzyka ubezpieczonego objętego umową ubezpieczenia, świadczenie ze wszystkich ryzyk zostanie wypłacone w pełnej wysokości bez zastosowania potrąceń przewidzianych ogólnymi warunkami ubezpieczenia/ogólnymi warunkami dodatkowego ubezpieczenia Ubezpieczyciela.</w:t>
      </w:r>
    </w:p>
    <w:p w:rsidR="005C0D71" w:rsidRPr="00FB7A03" w:rsidRDefault="005C0D71" w:rsidP="00977D49">
      <w:pPr>
        <w:ind w:left="720"/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:rsidR="00590033" w:rsidRPr="00FB7A03" w:rsidRDefault="00590033" w:rsidP="006D6379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>Ryzyko istniejące (Pre existing)</w:t>
      </w:r>
    </w:p>
    <w:p w:rsidR="005C0D71" w:rsidRPr="00FB7A03" w:rsidRDefault="005C0D71" w:rsidP="00977D49">
      <w:pPr>
        <w:keepNext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ascii="Tahoma" w:eastAsia="SimSun" w:hAnsi="Tahoma" w:cs="Tahoma"/>
          <w:noProof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Ubezpieczyciel</w:t>
      </w:r>
      <w:r w:rsidRPr="00FB7A03">
        <w:rPr>
          <w:rFonts w:ascii="Tahoma" w:eastAsia="SimSun" w:hAnsi="Tahoma" w:cs="Tahoma"/>
          <w:sz w:val="20"/>
          <w:szCs w:val="20"/>
        </w:rPr>
        <w:t xml:space="preserve"> obejmuje ochroną ubezpieczeniową skutki stanów chorobowych oraz wypadków, które zostały stwierdzone/zaszły lub z powodu których rozpoczęto postępowanie diagnostyczno-lecznicze, </w:t>
      </w:r>
      <w:r w:rsidRPr="00FB7A03">
        <w:rPr>
          <w:rFonts w:ascii="Tahoma" w:eastAsia="SimSun" w:hAnsi="Tahoma" w:cs="Tahoma"/>
          <w:sz w:val="20"/>
          <w:szCs w:val="20"/>
        </w:rPr>
        <w:br/>
        <w:t xml:space="preserve">przed początkiem odpowiedzialności Wykonawcy/Ubezpieczyciela, powodujących nabycie przez Ubezpieczonego prawa do świadczenia w okresie odpowiedzialności Ubezpieczyciela. Zapisy te mają zastosowanie w odniesieniu do pełnego zakresu ochrony ubezpieczeniowej/wszystkich świadczeń objętych umową ubezpieczenia zawartą w wyniku rozstrzygnięcia niniejszego postępowania w stosunku do Ubezpieczonych, którzy przystąpili do tego ubezpieczenia w ciągu 3 miesięcy od początku ochrony ubezpieczeniowej </w:t>
      </w:r>
      <w:r w:rsidRPr="00FB7A03">
        <w:rPr>
          <w:rFonts w:ascii="Tahoma" w:eastAsia="SimSun" w:hAnsi="Tahoma" w:cs="Tahoma"/>
          <w:spacing w:val="-5"/>
          <w:sz w:val="20"/>
          <w:szCs w:val="20"/>
        </w:rPr>
        <w:t>tj. od dnia 01.11.2020r.</w:t>
      </w:r>
      <w:r w:rsidRPr="00FB7A03">
        <w:rPr>
          <w:rFonts w:ascii="Tahoma" w:eastAsia="SimSun" w:hAnsi="Tahoma" w:cs="Tahoma"/>
          <w:sz w:val="20"/>
          <w:szCs w:val="20"/>
        </w:rPr>
        <w:t xml:space="preserve"> lub w ciągu 3 miesięcy od daty nawiązania stosunku prawnego lub nabycia uprawnienia do przystąpienia do ubezpieczenia, a </w:t>
      </w:r>
      <w:r w:rsidRPr="00FB7A03">
        <w:rPr>
          <w:rFonts w:ascii="Tahoma" w:eastAsia="SimSun" w:hAnsi="Tahoma" w:cs="Tahoma"/>
          <w:noProof/>
          <w:sz w:val="20"/>
          <w:szCs w:val="20"/>
        </w:rPr>
        <w:t>byli ubezpieczeni dotychczas, to jest na dzień przed rozpoczęciem ochrony ubezpieczeniowej, w ramach umowy ubezpieczenia grupowego na życie.</w:t>
      </w:r>
    </w:p>
    <w:p w:rsidR="005C0D71" w:rsidRPr="00FB7A03" w:rsidRDefault="005C0D71" w:rsidP="00977D49">
      <w:pPr>
        <w:ind w:left="426"/>
        <w:jc w:val="both"/>
        <w:rPr>
          <w:rFonts w:ascii="Tahoma" w:hAnsi="Tahoma" w:cs="Tahoma"/>
          <w:color w:val="FF0000"/>
          <w:sz w:val="20"/>
          <w:szCs w:val="20"/>
        </w:rPr>
      </w:pPr>
    </w:p>
    <w:p w:rsidR="005C0D71" w:rsidRPr="00FB7A03" w:rsidRDefault="005C0D71" w:rsidP="006D6379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b/>
          <w:iCs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>Katalog poważnych zachorowań (ciężkich zachorowań)</w:t>
      </w:r>
      <w:r w:rsidR="000D6AA6" w:rsidRPr="00FB7A03">
        <w:rPr>
          <w:rFonts w:ascii="Tahoma" w:hAnsi="Tahoma" w:cs="Tahoma"/>
          <w:b/>
          <w:sz w:val="20"/>
          <w:szCs w:val="20"/>
        </w:rPr>
        <w:t xml:space="preserve"> Ubezpieczonego</w:t>
      </w:r>
    </w:p>
    <w:p w:rsidR="005C0D71" w:rsidRPr="00FB7A03" w:rsidRDefault="005C0D71" w:rsidP="00977D49">
      <w:pPr>
        <w:shd w:val="clear" w:color="auto" w:fill="FFFFFF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bCs/>
          <w:iCs/>
          <w:sz w:val="20"/>
          <w:szCs w:val="20"/>
        </w:rPr>
      </w:pPr>
      <w:r w:rsidRPr="00FB7A03">
        <w:rPr>
          <w:rFonts w:ascii="Tahoma" w:hAnsi="Tahoma" w:cs="Tahoma"/>
          <w:bCs/>
          <w:sz w:val="20"/>
          <w:szCs w:val="20"/>
        </w:rPr>
        <w:t>Minimalny katalog poważnych zachorowań Ubezpieczonego</w:t>
      </w:r>
      <w:r w:rsidRPr="00FB7A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B7A03">
        <w:rPr>
          <w:rFonts w:ascii="Tahoma" w:hAnsi="Tahoma" w:cs="Tahoma"/>
          <w:bCs/>
          <w:sz w:val="20"/>
          <w:szCs w:val="20"/>
        </w:rPr>
        <w:t xml:space="preserve">winien obejmować </w:t>
      </w:r>
      <w:r w:rsidR="00285867" w:rsidRPr="00FB7A03">
        <w:rPr>
          <w:rFonts w:ascii="Tahoma" w:hAnsi="Tahoma" w:cs="Tahoma"/>
          <w:bCs/>
          <w:sz w:val="20"/>
          <w:szCs w:val="20"/>
        </w:rPr>
        <w:t>co najmniej następujące poważne zachorowania:</w:t>
      </w:r>
      <w:r w:rsidRPr="00FB7A03">
        <w:rPr>
          <w:rFonts w:ascii="Tahoma" w:hAnsi="Tahoma" w:cs="Tahoma"/>
          <w:bCs/>
          <w:sz w:val="20"/>
          <w:szCs w:val="20"/>
        </w:rPr>
        <w:t xml:space="preserve"> </w:t>
      </w:r>
      <w:r w:rsidRPr="00FB7A03">
        <w:rPr>
          <w:rFonts w:ascii="Tahoma" w:hAnsi="Tahoma" w:cs="Tahoma"/>
          <w:sz w:val="20"/>
          <w:szCs w:val="20"/>
        </w:rPr>
        <w:t>chirurgiczne leczenie choroby naczyń wieńcowych</w:t>
      </w:r>
      <w:r w:rsidRPr="00FB7A03">
        <w:rPr>
          <w:rFonts w:ascii="Tahoma" w:hAnsi="Tahoma" w:cs="Tahoma"/>
          <w:bCs/>
          <w:sz w:val="20"/>
          <w:szCs w:val="20"/>
        </w:rPr>
        <w:t xml:space="preserve"> (by-pass), z</w:t>
      </w:r>
      <w:r w:rsidRPr="00FB7A03">
        <w:rPr>
          <w:rFonts w:ascii="Tahoma" w:hAnsi="Tahoma" w:cs="Tahoma"/>
          <w:sz w:val="20"/>
          <w:szCs w:val="20"/>
        </w:rPr>
        <w:t xml:space="preserve">awał serca, </w:t>
      </w:r>
      <w:r w:rsidRPr="00FB7A03">
        <w:rPr>
          <w:rFonts w:ascii="Tahoma" w:hAnsi="Tahoma" w:cs="Tahoma"/>
          <w:bCs/>
          <w:sz w:val="20"/>
          <w:szCs w:val="20"/>
        </w:rPr>
        <w:t xml:space="preserve">udar mózgu, </w:t>
      </w:r>
      <w:r w:rsidR="0082657C" w:rsidRPr="00FB7A03">
        <w:rPr>
          <w:rFonts w:ascii="Tahoma" w:hAnsi="Tahoma" w:cs="Tahoma"/>
          <w:bCs/>
          <w:sz w:val="20"/>
          <w:szCs w:val="20"/>
        </w:rPr>
        <w:t xml:space="preserve">utrata mowy, utrata słuchu, utrata wzroku w wyniku choroby lub nieszczęśliwego wypadku, </w:t>
      </w:r>
      <w:r w:rsidRPr="00FB7A03">
        <w:rPr>
          <w:rFonts w:ascii="Tahoma" w:hAnsi="Tahoma" w:cs="Tahoma"/>
          <w:bCs/>
          <w:sz w:val="20"/>
          <w:szCs w:val="20"/>
        </w:rPr>
        <w:t xml:space="preserve">nowotwór złośliwy, niewydolność nerek, przeszczep narządów, </w:t>
      </w:r>
      <w:r w:rsidR="0082657C" w:rsidRPr="00FB7A03">
        <w:rPr>
          <w:rFonts w:ascii="Tahoma" w:hAnsi="Tahoma" w:cs="Tahoma"/>
          <w:bCs/>
          <w:sz w:val="20"/>
          <w:szCs w:val="20"/>
        </w:rPr>
        <w:t>przeszczep zastawki serca, operacja aorty, łagodne guzy mózgu, nowotwór złośliwy, oparzenia (</w:t>
      </w:r>
      <w:r w:rsidRPr="00FB7A03">
        <w:rPr>
          <w:rFonts w:ascii="Tahoma" w:hAnsi="Tahoma" w:cs="Tahoma"/>
          <w:bCs/>
          <w:sz w:val="20"/>
          <w:szCs w:val="20"/>
        </w:rPr>
        <w:t>ciężkie poparzenie</w:t>
      </w:r>
      <w:r w:rsidR="0082657C" w:rsidRPr="00FB7A03">
        <w:rPr>
          <w:rFonts w:ascii="Tahoma" w:hAnsi="Tahoma" w:cs="Tahoma"/>
          <w:bCs/>
          <w:sz w:val="20"/>
          <w:szCs w:val="20"/>
        </w:rPr>
        <w:t>)</w:t>
      </w:r>
      <w:r w:rsidRPr="00FB7A03">
        <w:rPr>
          <w:rFonts w:ascii="Tahoma" w:hAnsi="Tahoma" w:cs="Tahoma"/>
          <w:bCs/>
          <w:sz w:val="20"/>
          <w:szCs w:val="20"/>
        </w:rPr>
        <w:t xml:space="preserve">, stwardnienie rozsiane, </w:t>
      </w:r>
      <w:r w:rsidR="0082657C" w:rsidRPr="00FB7A03">
        <w:rPr>
          <w:rFonts w:ascii="Tahoma" w:hAnsi="Tahoma" w:cs="Tahoma"/>
          <w:bCs/>
          <w:sz w:val="20"/>
          <w:szCs w:val="20"/>
        </w:rPr>
        <w:t xml:space="preserve">śpiączka, zakażenie wirusem HIV, </w:t>
      </w:r>
      <w:r w:rsidR="00D86C10" w:rsidRPr="00FB7A03">
        <w:rPr>
          <w:rFonts w:ascii="Tahoma" w:hAnsi="Tahoma" w:cs="Tahoma"/>
          <w:bCs/>
          <w:sz w:val="20"/>
          <w:szCs w:val="20"/>
        </w:rPr>
        <w:t xml:space="preserve">paraliż, </w:t>
      </w:r>
      <w:r w:rsidRPr="00FB7A03">
        <w:rPr>
          <w:rFonts w:ascii="Tahoma" w:hAnsi="Tahoma" w:cs="Tahoma"/>
          <w:bCs/>
          <w:sz w:val="20"/>
          <w:szCs w:val="20"/>
        </w:rPr>
        <w:t xml:space="preserve">wirusowe zapalenie wątroby typu B lub C, choroba Parkinsona, </w:t>
      </w:r>
      <w:r w:rsidR="00D86C10" w:rsidRPr="00FB7A03">
        <w:rPr>
          <w:rFonts w:ascii="Tahoma" w:hAnsi="Tahoma" w:cs="Tahoma"/>
          <w:bCs/>
          <w:sz w:val="20"/>
          <w:szCs w:val="20"/>
        </w:rPr>
        <w:t xml:space="preserve">utrata kończyn, </w:t>
      </w:r>
      <w:r w:rsidRPr="00FB7A03">
        <w:rPr>
          <w:rFonts w:ascii="Tahoma" w:hAnsi="Tahoma" w:cs="Tahoma"/>
          <w:bCs/>
          <w:sz w:val="20"/>
          <w:szCs w:val="20"/>
        </w:rPr>
        <w:t>tężec, sepsa.</w:t>
      </w:r>
    </w:p>
    <w:p w:rsidR="005C0D71" w:rsidRPr="00FB7A03" w:rsidRDefault="005C0D71" w:rsidP="00977D49">
      <w:pPr>
        <w:shd w:val="clear" w:color="auto" w:fill="FFFFFF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b/>
          <w:iCs/>
          <w:sz w:val="20"/>
          <w:szCs w:val="20"/>
        </w:rPr>
      </w:pPr>
    </w:p>
    <w:p w:rsidR="000D6AA6" w:rsidRPr="00FB7A03" w:rsidRDefault="000D6AA6" w:rsidP="000D6AA6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b/>
          <w:iCs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>Katalog poważnych zachorowań (ciężkich zachorowań) małżonka Ubezpieczonego</w:t>
      </w:r>
    </w:p>
    <w:p w:rsidR="000D6AA6" w:rsidRPr="00FB7A03" w:rsidRDefault="000D6AA6" w:rsidP="000D6AA6">
      <w:pPr>
        <w:shd w:val="clear" w:color="auto" w:fill="FFFFFF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bCs/>
          <w:iCs/>
          <w:sz w:val="20"/>
          <w:szCs w:val="20"/>
        </w:rPr>
      </w:pPr>
      <w:r w:rsidRPr="00FB7A03">
        <w:rPr>
          <w:rFonts w:ascii="Tahoma" w:hAnsi="Tahoma" w:cs="Tahoma"/>
          <w:bCs/>
          <w:sz w:val="20"/>
          <w:szCs w:val="20"/>
        </w:rPr>
        <w:t>Minimalny katalog poważnych zachorowań małżonka Ubezpieczonego</w:t>
      </w:r>
      <w:r w:rsidRPr="00FB7A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B7A03">
        <w:rPr>
          <w:rFonts w:ascii="Tahoma" w:hAnsi="Tahoma" w:cs="Tahoma"/>
          <w:bCs/>
          <w:sz w:val="20"/>
          <w:szCs w:val="20"/>
        </w:rPr>
        <w:t xml:space="preserve">winien obejmować min. 17 chorób: </w:t>
      </w:r>
      <w:r w:rsidRPr="00FB7A03">
        <w:rPr>
          <w:rFonts w:ascii="Tahoma" w:hAnsi="Tahoma" w:cs="Tahoma"/>
          <w:sz w:val="20"/>
          <w:szCs w:val="20"/>
        </w:rPr>
        <w:t>chirurgiczne leczenie choroby naczyń wieńcowych</w:t>
      </w:r>
      <w:r w:rsidRPr="00FB7A03">
        <w:rPr>
          <w:rFonts w:ascii="Tahoma" w:hAnsi="Tahoma" w:cs="Tahoma"/>
          <w:bCs/>
          <w:sz w:val="20"/>
          <w:szCs w:val="20"/>
        </w:rPr>
        <w:t xml:space="preserve"> (by-pass), z</w:t>
      </w:r>
      <w:r w:rsidRPr="00FB7A03">
        <w:rPr>
          <w:rFonts w:ascii="Tahoma" w:hAnsi="Tahoma" w:cs="Tahoma"/>
          <w:sz w:val="20"/>
          <w:szCs w:val="20"/>
        </w:rPr>
        <w:t xml:space="preserve">awał serca, </w:t>
      </w:r>
      <w:r w:rsidRPr="00FB7A03">
        <w:rPr>
          <w:rFonts w:ascii="Tahoma" w:hAnsi="Tahoma" w:cs="Tahoma"/>
          <w:bCs/>
          <w:sz w:val="20"/>
          <w:szCs w:val="20"/>
        </w:rPr>
        <w:t>udar mózgu, utrata mowy, utrata słuchu, utrata wzroku w wyniku choroby lub nieszczęśliwego wypadku, nowotwór złośliwy, niewydolność nerek, przeszczep narządów, przeszczep zastawki serca, operacja aorty, łagodne guzy mózgu, nowotwór złośliwy, oparzenia (ciężkie poparzenie), stwardnienie rozsiane, śpiączka, zakażenie wirusem HIV.</w:t>
      </w:r>
    </w:p>
    <w:p w:rsidR="000D6AA6" w:rsidRPr="00FB7A03" w:rsidRDefault="000D6AA6" w:rsidP="00977D49">
      <w:pPr>
        <w:shd w:val="clear" w:color="auto" w:fill="FFFFFF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b/>
          <w:iCs/>
          <w:sz w:val="20"/>
          <w:szCs w:val="20"/>
        </w:rPr>
      </w:pPr>
    </w:p>
    <w:p w:rsidR="007C1BED" w:rsidRPr="00FB7A03" w:rsidRDefault="007C1BED" w:rsidP="006D6379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>Pobyt w szpitalu</w:t>
      </w:r>
    </w:p>
    <w:p w:rsidR="005C0D71" w:rsidRPr="00FB7A03" w:rsidRDefault="005C0D71" w:rsidP="00977D49">
      <w:pPr>
        <w:ind w:left="426"/>
        <w:jc w:val="both"/>
        <w:rPr>
          <w:rFonts w:ascii="Tahoma" w:hAnsi="Tahoma" w:cs="Tahoma"/>
          <w:bCs/>
          <w:noProof/>
          <w:sz w:val="20"/>
          <w:szCs w:val="20"/>
        </w:rPr>
      </w:pPr>
      <w:r w:rsidRPr="00FB7A03">
        <w:rPr>
          <w:rFonts w:ascii="Tahoma" w:hAnsi="Tahoma" w:cs="Tahoma"/>
          <w:bCs/>
          <w:sz w:val="20"/>
          <w:szCs w:val="20"/>
        </w:rPr>
        <w:t xml:space="preserve">Ubezpieczyciel zobowiązany jest do wypłaty świadczenia w przypadku pobytu Ubezpieczonego w szpitalu </w:t>
      </w:r>
      <w:r w:rsidRPr="00FB7A03">
        <w:rPr>
          <w:rFonts w:ascii="Tahoma" w:hAnsi="Tahoma" w:cs="Tahoma"/>
          <w:bCs/>
          <w:sz w:val="20"/>
          <w:szCs w:val="20"/>
        </w:rPr>
        <w:br/>
        <w:t xml:space="preserve">co najmniej na terytorium krajów Unii Europejskiej. </w:t>
      </w:r>
    </w:p>
    <w:p w:rsidR="005C0D71" w:rsidRPr="00FB7A03" w:rsidRDefault="005C0D71" w:rsidP="00977D49">
      <w:pPr>
        <w:ind w:left="426"/>
        <w:jc w:val="both"/>
        <w:rPr>
          <w:rFonts w:ascii="Tahoma" w:hAnsi="Tahoma" w:cs="Tahoma"/>
          <w:bCs/>
          <w:noProof/>
          <w:sz w:val="20"/>
          <w:szCs w:val="20"/>
        </w:rPr>
      </w:pPr>
      <w:r w:rsidRPr="00FB7A03">
        <w:rPr>
          <w:rFonts w:ascii="Tahoma" w:hAnsi="Tahoma" w:cs="Tahoma"/>
          <w:bCs/>
          <w:noProof/>
          <w:sz w:val="20"/>
          <w:szCs w:val="20"/>
        </w:rPr>
        <w:t>Świadczenie przysługuje Ubezpieczonemu jeśli:</w:t>
      </w:r>
    </w:p>
    <w:p w:rsidR="005C0D71" w:rsidRPr="00FB7A03" w:rsidRDefault="005C0D71" w:rsidP="00977D49">
      <w:pPr>
        <w:ind w:left="426"/>
        <w:jc w:val="both"/>
        <w:rPr>
          <w:rFonts w:ascii="Tahoma" w:hAnsi="Tahoma" w:cs="Tahoma"/>
          <w:bCs/>
          <w:noProof/>
          <w:sz w:val="20"/>
          <w:szCs w:val="20"/>
        </w:rPr>
      </w:pPr>
      <w:r w:rsidRPr="00FB7A03">
        <w:rPr>
          <w:rFonts w:ascii="Tahoma" w:hAnsi="Tahoma" w:cs="Tahoma"/>
          <w:bCs/>
          <w:noProof/>
          <w:sz w:val="20"/>
          <w:szCs w:val="20"/>
        </w:rPr>
        <w:t>a) pobyt w szpitalu trwał dłużej niż 1 dzień gdy pobyt spowodowany był nieszczęśliwym wypadkiem,</w:t>
      </w:r>
    </w:p>
    <w:p w:rsidR="005C0D71" w:rsidRPr="00FB7A03" w:rsidRDefault="005C0D71" w:rsidP="00977D49">
      <w:pPr>
        <w:ind w:left="426"/>
        <w:jc w:val="both"/>
        <w:rPr>
          <w:rFonts w:ascii="Tahoma" w:hAnsi="Tahoma" w:cs="Tahoma"/>
          <w:bCs/>
          <w:noProof/>
          <w:sz w:val="20"/>
          <w:szCs w:val="20"/>
        </w:rPr>
      </w:pPr>
      <w:r w:rsidRPr="00FB7A03">
        <w:rPr>
          <w:rFonts w:ascii="Tahoma" w:hAnsi="Tahoma" w:cs="Tahoma"/>
          <w:bCs/>
          <w:noProof/>
          <w:sz w:val="20"/>
          <w:szCs w:val="20"/>
        </w:rPr>
        <w:t xml:space="preserve">b) pobyt w szpitalu trwał </w:t>
      </w:r>
      <w:r w:rsidRPr="00FB7A03">
        <w:rPr>
          <w:rFonts w:ascii="Tahoma" w:hAnsi="Tahoma" w:cs="Tahoma"/>
          <w:sz w:val="20"/>
          <w:szCs w:val="20"/>
        </w:rPr>
        <w:t xml:space="preserve">dłużej niż 2 dni, </w:t>
      </w:r>
      <w:r w:rsidRPr="00FB7A03">
        <w:rPr>
          <w:rFonts w:ascii="Tahoma" w:hAnsi="Tahoma" w:cs="Tahoma"/>
          <w:bCs/>
          <w:noProof/>
          <w:sz w:val="20"/>
          <w:szCs w:val="20"/>
        </w:rPr>
        <w:t xml:space="preserve">gdy pobyt spowodowany był chorobą, zawałem serca lub udarem mózgu. </w:t>
      </w:r>
    </w:p>
    <w:p w:rsidR="005C0D71" w:rsidRPr="00FB7A03" w:rsidRDefault="005C0D71" w:rsidP="00977D49">
      <w:pPr>
        <w:pStyle w:val="Tekstpodstawowy"/>
        <w:suppressAutoHyphens/>
        <w:overflowPunct w:val="0"/>
        <w:autoSpaceDE w:val="0"/>
        <w:autoSpaceDN w:val="0"/>
        <w:adjustRightInd w:val="0"/>
        <w:spacing w:after="0"/>
        <w:ind w:left="426" w:hanging="358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7C1BED" w:rsidRPr="00FB7A03" w:rsidRDefault="007C1BED" w:rsidP="006D6379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b/>
          <w:bCs/>
          <w:iCs/>
          <w:sz w:val="20"/>
          <w:szCs w:val="20"/>
        </w:rPr>
      </w:pPr>
      <w:r w:rsidRPr="00FB7A03">
        <w:rPr>
          <w:rFonts w:ascii="Tahoma" w:hAnsi="Tahoma" w:cs="Tahoma"/>
          <w:b/>
          <w:bCs/>
          <w:iCs/>
          <w:sz w:val="20"/>
          <w:szCs w:val="20"/>
        </w:rPr>
        <w:t>Ograniczenia wiekowe</w:t>
      </w:r>
    </w:p>
    <w:p w:rsidR="005C0D71" w:rsidRPr="00FB7A03" w:rsidRDefault="005C0D71" w:rsidP="00977D49">
      <w:pPr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FB7A03">
        <w:rPr>
          <w:rFonts w:ascii="Tahoma" w:eastAsia="SimSun" w:hAnsi="Tahoma" w:cs="Tahoma"/>
          <w:sz w:val="20"/>
          <w:szCs w:val="20"/>
        </w:rPr>
        <w:t>Ubezpieczający</w:t>
      </w:r>
      <w:r w:rsidR="00934289" w:rsidRPr="00FB7A03">
        <w:rPr>
          <w:rFonts w:ascii="Tahoma" w:eastAsia="SimSun" w:hAnsi="Tahoma" w:cs="Tahoma"/>
          <w:sz w:val="20"/>
          <w:szCs w:val="20"/>
        </w:rPr>
        <w:t xml:space="preserve"> </w:t>
      </w:r>
      <w:r w:rsidRPr="00FB7A03">
        <w:rPr>
          <w:rFonts w:ascii="Tahoma" w:eastAsia="SimSun" w:hAnsi="Tahoma" w:cs="Tahoma"/>
          <w:sz w:val="20"/>
          <w:szCs w:val="20"/>
        </w:rPr>
        <w:t>nie dopuszcza ograniczeń w OWU/OWDU Ubezpieczyciela, które przewidują brak ochrony z tytułu poszczególnych ryzyk po osiągnięciu przez Ubezpieczonego określonego wieku (np. 60, 65 lat), np. śmierć w następstwie udaru mózgu lub zawału serca, trwałego uszczerbku na zdrowiu spowodowanego zawałem serca lub udarem mózgu, pobytu w szpitalu w wyniku choroby, poważnego zachorowania, operacji chirurgicznej, niezdolności do pracy, itd.</w:t>
      </w:r>
    </w:p>
    <w:p w:rsidR="005C0D71" w:rsidRPr="00FB7A03" w:rsidRDefault="005C0D71" w:rsidP="00977D49">
      <w:pPr>
        <w:ind w:left="426" w:hanging="358"/>
        <w:jc w:val="both"/>
        <w:rPr>
          <w:rFonts w:ascii="Tahoma" w:hAnsi="Tahoma" w:cs="Tahoma"/>
          <w:bCs/>
          <w:iCs/>
          <w:color w:val="FF0000"/>
          <w:sz w:val="20"/>
          <w:szCs w:val="20"/>
        </w:rPr>
      </w:pPr>
    </w:p>
    <w:p w:rsidR="007C1BED" w:rsidRPr="00FB7A03" w:rsidRDefault="007C1BED" w:rsidP="006D6379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b/>
          <w:bCs/>
          <w:iCs/>
          <w:sz w:val="20"/>
          <w:szCs w:val="20"/>
        </w:rPr>
      </w:pPr>
      <w:r w:rsidRPr="00FB7A03">
        <w:rPr>
          <w:rFonts w:ascii="Tahoma" w:hAnsi="Tahoma" w:cs="Tahoma"/>
          <w:b/>
          <w:bCs/>
          <w:iCs/>
          <w:sz w:val="20"/>
          <w:szCs w:val="20"/>
        </w:rPr>
        <w:t>Świadczenie z tytułu zgonu NW</w:t>
      </w:r>
    </w:p>
    <w:p w:rsidR="007C1BED" w:rsidRPr="00FB7A03" w:rsidRDefault="007C1BED" w:rsidP="00977D49">
      <w:pPr>
        <w:suppressAutoHyphens/>
        <w:ind w:left="426"/>
        <w:jc w:val="both"/>
        <w:rPr>
          <w:rFonts w:ascii="Tahoma" w:hAnsi="Tahoma" w:cs="Tahoma"/>
          <w:bCs/>
          <w:iCs/>
          <w:sz w:val="20"/>
          <w:szCs w:val="20"/>
        </w:rPr>
      </w:pPr>
      <w:r w:rsidRPr="00FB7A03">
        <w:rPr>
          <w:rFonts w:ascii="Tahoma" w:hAnsi="Tahoma" w:cs="Tahoma"/>
          <w:bCs/>
          <w:iCs/>
          <w:sz w:val="20"/>
          <w:szCs w:val="20"/>
        </w:rPr>
        <w:t>Ubezpieczyciel wypłaca świadczenie z powodu zgonu Ubezpieczonego w następstwie nieszczęśliwego wypadku, nieszczęśliwego wypadku przy pracy, wypadku komunikacyjnego i wypadku komunikacyjnego przy pracy jeżeli śmierć Ubezpieczonego nastąpiła w terminie nieprzekraczającym 180 dni od daty nieszczęśliwego wypadku lub wypadku komunikacyjnego oraz jeżeli zgon nastąpił w okresie trwania zawartej umowy ubezpieczenia.</w:t>
      </w:r>
    </w:p>
    <w:p w:rsidR="007C1BED" w:rsidRPr="00FB7A03" w:rsidRDefault="007C1BED" w:rsidP="00977D49">
      <w:pPr>
        <w:ind w:left="426" w:hanging="358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7C1BED" w:rsidRPr="00FB7A03" w:rsidRDefault="007C1BED" w:rsidP="006D6379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b/>
          <w:bCs/>
          <w:iCs/>
          <w:sz w:val="20"/>
          <w:szCs w:val="20"/>
        </w:rPr>
      </w:pPr>
      <w:r w:rsidRPr="00FB7A03">
        <w:rPr>
          <w:rFonts w:ascii="Tahoma" w:hAnsi="Tahoma" w:cs="Tahoma"/>
          <w:b/>
          <w:bCs/>
          <w:iCs/>
          <w:sz w:val="20"/>
          <w:szCs w:val="20"/>
        </w:rPr>
        <w:t>Uszczerbek na zdrowiu</w:t>
      </w:r>
    </w:p>
    <w:p w:rsidR="00C22E95" w:rsidRPr="00FB7A03" w:rsidRDefault="00C22E95" w:rsidP="00977D49">
      <w:pPr>
        <w:suppressAutoHyphens/>
        <w:ind w:left="426"/>
        <w:jc w:val="both"/>
        <w:rPr>
          <w:rFonts w:ascii="Tahoma" w:eastAsia="SimSun" w:hAnsi="Tahoma" w:cs="Tahoma"/>
          <w:noProof/>
          <w:color w:val="000000"/>
          <w:sz w:val="20"/>
          <w:szCs w:val="20"/>
        </w:rPr>
      </w:pPr>
      <w:r w:rsidRPr="00FB7A03">
        <w:rPr>
          <w:rFonts w:ascii="Tahoma" w:eastAsia="SimSun" w:hAnsi="Tahoma" w:cs="Tahoma"/>
          <w:noProof/>
          <w:sz w:val="20"/>
          <w:szCs w:val="20"/>
        </w:rPr>
        <w:t xml:space="preserve">Ubezpieczajacy wymaga wypłaty świadczenia Ubezpieczonemu z tytułu trwałego uszczerbku na zdrowiu na </w:t>
      </w:r>
      <w:r w:rsidRPr="00FB7A03">
        <w:rPr>
          <w:rFonts w:ascii="Tahoma" w:hAnsi="Tahoma" w:cs="Tahoma"/>
          <w:bCs/>
          <w:iCs/>
          <w:sz w:val="20"/>
          <w:szCs w:val="20"/>
        </w:rPr>
        <w:t>podstawie</w:t>
      </w:r>
      <w:r w:rsidRPr="00FB7A03">
        <w:rPr>
          <w:rFonts w:ascii="Tahoma" w:eastAsia="SimSun" w:hAnsi="Tahoma" w:cs="Tahoma"/>
          <w:noProof/>
          <w:sz w:val="20"/>
          <w:szCs w:val="20"/>
        </w:rPr>
        <w:t xml:space="preserve"> orzeczenia odpowiedniego procentu sumy ubezpieczenia za każdy procent stwierdzonego trwałego uszczerbku na zdrowiu, w granicach od 1% do 100% trwałego uszczerbku na zdrowiu zgodnie z tabelą norm oceny procentowej uszczerbków na zdrowiu stanowiącą załącznik do złożonej oferty. </w:t>
      </w:r>
      <w:r w:rsidRPr="00FB7A03">
        <w:rPr>
          <w:rFonts w:ascii="Tahoma" w:eastAsia="SimSun" w:hAnsi="Tahoma" w:cs="Tahoma"/>
          <w:bCs/>
          <w:sz w:val="20"/>
          <w:szCs w:val="20"/>
        </w:rPr>
        <w:t xml:space="preserve">Nie jest dopuszczalne wprowadzanie minimalnych wysokości (progów) orzeczonego trwałego uszczerbku. Maksymalna wysokość świadczenia z tytułu orzeczonego trwałego uszczerbku w wyniku jednego wypadku ubezpieczeniowego </w:t>
      </w:r>
      <w:r w:rsidRPr="00FB7A03">
        <w:rPr>
          <w:rFonts w:ascii="Tahoma" w:eastAsia="SimSun" w:hAnsi="Tahoma" w:cs="Tahoma"/>
          <w:bCs/>
          <w:color w:val="000000"/>
          <w:sz w:val="20"/>
          <w:szCs w:val="20"/>
        </w:rPr>
        <w:t>wynosi 100%.</w:t>
      </w:r>
    </w:p>
    <w:p w:rsidR="00C22E95" w:rsidRPr="00FB7A03" w:rsidRDefault="00C22E95" w:rsidP="00977D49">
      <w:pPr>
        <w:tabs>
          <w:tab w:val="left" w:pos="1240"/>
        </w:tabs>
        <w:ind w:left="426" w:hanging="358"/>
        <w:jc w:val="both"/>
        <w:rPr>
          <w:rFonts w:ascii="Tahoma" w:hAnsi="Tahoma" w:cs="Tahoma"/>
          <w:bCs/>
          <w:iCs/>
          <w:color w:val="FF0000"/>
          <w:sz w:val="20"/>
          <w:szCs w:val="20"/>
        </w:rPr>
      </w:pPr>
    </w:p>
    <w:p w:rsidR="007C1BED" w:rsidRPr="00FB7A03" w:rsidRDefault="005C0D71" w:rsidP="006D6379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b/>
          <w:bCs/>
          <w:iCs/>
          <w:sz w:val="20"/>
          <w:szCs w:val="20"/>
        </w:rPr>
      </w:pPr>
      <w:r w:rsidRPr="00FB7A03">
        <w:rPr>
          <w:rFonts w:ascii="Tahoma" w:hAnsi="Tahoma" w:cs="Tahoma"/>
          <w:b/>
          <w:bCs/>
          <w:iCs/>
          <w:sz w:val="20"/>
          <w:szCs w:val="20"/>
        </w:rPr>
        <w:t>Poważne zachorowania (c</w:t>
      </w:r>
      <w:r w:rsidR="007C1BED" w:rsidRPr="00FB7A03">
        <w:rPr>
          <w:rFonts w:ascii="Tahoma" w:hAnsi="Tahoma" w:cs="Tahoma"/>
          <w:b/>
          <w:bCs/>
          <w:iCs/>
          <w:sz w:val="20"/>
          <w:szCs w:val="20"/>
        </w:rPr>
        <w:t>iężkie zachorowania</w:t>
      </w:r>
      <w:r w:rsidRPr="00FB7A03">
        <w:rPr>
          <w:rFonts w:ascii="Tahoma" w:hAnsi="Tahoma" w:cs="Tahoma"/>
          <w:b/>
          <w:bCs/>
          <w:iCs/>
          <w:sz w:val="20"/>
          <w:szCs w:val="20"/>
        </w:rPr>
        <w:t>)</w:t>
      </w:r>
    </w:p>
    <w:p w:rsidR="00A26514" w:rsidRPr="00FB7A03" w:rsidRDefault="007C1BED" w:rsidP="00977D49">
      <w:pPr>
        <w:ind w:left="426"/>
        <w:jc w:val="both"/>
        <w:rPr>
          <w:rFonts w:ascii="Tahoma" w:hAnsi="Tahoma" w:cs="Tahoma"/>
          <w:bCs/>
          <w:iCs/>
          <w:sz w:val="20"/>
          <w:szCs w:val="20"/>
        </w:rPr>
      </w:pPr>
      <w:r w:rsidRPr="00FB7A03">
        <w:rPr>
          <w:rFonts w:ascii="Tahoma" w:hAnsi="Tahoma" w:cs="Tahoma"/>
          <w:bCs/>
          <w:iCs/>
          <w:sz w:val="20"/>
          <w:szCs w:val="20"/>
        </w:rPr>
        <w:t xml:space="preserve">Ubezpieczyciel gwarantuje wypłatę świadczenia za wystąpienie każdej z ciężkich chorób (poważnego zachorowania) objętych zakresem ubezpieczenia </w:t>
      </w:r>
      <w:r w:rsidRPr="00FB7A03">
        <w:rPr>
          <w:rFonts w:ascii="Tahoma" w:hAnsi="Tahoma" w:cs="Tahoma"/>
          <w:noProof/>
          <w:sz w:val="20"/>
          <w:szCs w:val="20"/>
        </w:rPr>
        <w:t>w okresie odpowiedzialności Ubezpieczyciela</w:t>
      </w:r>
      <w:r w:rsidRPr="00FB7A03">
        <w:rPr>
          <w:rFonts w:ascii="Tahoma" w:hAnsi="Tahoma" w:cs="Tahoma"/>
          <w:bCs/>
          <w:iCs/>
          <w:sz w:val="20"/>
          <w:szCs w:val="20"/>
        </w:rPr>
        <w:t xml:space="preserve">. </w:t>
      </w:r>
      <w:r w:rsidR="00D86C10" w:rsidRPr="00FB7A03">
        <w:rPr>
          <w:rFonts w:ascii="Tahoma" w:hAnsi="Tahoma" w:cs="Tahoma"/>
          <w:bCs/>
          <w:iCs/>
          <w:sz w:val="20"/>
          <w:szCs w:val="20"/>
        </w:rPr>
        <w:br/>
      </w:r>
      <w:r w:rsidRPr="00FB7A03">
        <w:rPr>
          <w:rFonts w:ascii="Tahoma" w:hAnsi="Tahoma" w:cs="Tahoma"/>
          <w:bCs/>
          <w:iCs/>
          <w:sz w:val="20"/>
          <w:szCs w:val="20"/>
        </w:rPr>
        <w:t xml:space="preserve">W przypadku wystąpienia u Ubezpieczonego ponownie tej samej ciężkiej choroby, Ubezpieczyciel nie ponosi odpowiedzialności z tego tytułu. </w:t>
      </w:r>
    </w:p>
    <w:p w:rsidR="00A26514" w:rsidRPr="00FB7A03" w:rsidRDefault="00A26514" w:rsidP="00977D49">
      <w:pPr>
        <w:ind w:left="426"/>
        <w:jc w:val="both"/>
      </w:pPr>
      <w:r w:rsidRPr="00FB7A03">
        <w:rPr>
          <w:rFonts w:ascii="Tahoma" w:hAnsi="Tahoma" w:cs="Tahoma"/>
          <w:sz w:val="20"/>
          <w:szCs w:val="20"/>
        </w:rPr>
        <w:t>W przypadku wystąpienia u Ubezpieczonego kolejnej ciężkiej choroby objętej zakresem ubezpieczenia, Wykonawca ponosi odpowiedzialność, o ile choroba ta nie jest następstwem wystąpienia ciężkiej choroby, z tytułu której Wykonawca wypłacił Ubezpieczonemu świadczenie. Wykonawca nie może wymagać minimalnego okresu czasu, jaki musi upłynąć pomiędzy wystąpieniem dwóch różnych ciężkich chorób (poważnych zachorowań), aby została uznana odpowiedzialność Wykonawcy.</w:t>
      </w:r>
    </w:p>
    <w:p w:rsidR="007C1BED" w:rsidRPr="00FB7A03" w:rsidRDefault="007C1BED" w:rsidP="00977D49">
      <w:pPr>
        <w:ind w:left="426" w:hanging="358"/>
        <w:jc w:val="both"/>
        <w:rPr>
          <w:rFonts w:ascii="Tahoma" w:hAnsi="Tahoma" w:cs="Tahoma"/>
          <w:color w:val="FF0000"/>
          <w:sz w:val="20"/>
          <w:szCs w:val="20"/>
        </w:rPr>
      </w:pPr>
    </w:p>
    <w:p w:rsidR="007C1BED" w:rsidRPr="00FB7A03" w:rsidRDefault="007C1BED" w:rsidP="006D6379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>Indywidualna kontynuacja</w:t>
      </w:r>
    </w:p>
    <w:p w:rsidR="00CC10AA" w:rsidRPr="00FB7A03" w:rsidRDefault="00CC10AA" w:rsidP="00977D49">
      <w:pPr>
        <w:tabs>
          <w:tab w:val="num" w:pos="426"/>
          <w:tab w:val="num" w:pos="3900"/>
        </w:tabs>
        <w:ind w:left="426"/>
        <w:jc w:val="both"/>
        <w:rPr>
          <w:rFonts w:ascii="Tahoma" w:hAnsi="Tahoma" w:cs="Tahoma"/>
          <w:bCs/>
          <w:noProof/>
          <w:sz w:val="20"/>
          <w:szCs w:val="20"/>
        </w:rPr>
      </w:pPr>
      <w:r w:rsidRPr="00FB7A03">
        <w:rPr>
          <w:rFonts w:ascii="Tahoma" w:hAnsi="Tahoma" w:cs="Tahoma"/>
          <w:noProof/>
          <w:sz w:val="20"/>
          <w:szCs w:val="20"/>
        </w:rPr>
        <w:t xml:space="preserve">Umowa grupowego ubezpieczenia na życie dla pracowników </w:t>
      </w:r>
      <w:r w:rsidRPr="00FB7A03">
        <w:rPr>
          <w:rFonts w:ascii="Tahoma" w:hAnsi="Tahoma" w:cs="Tahoma"/>
          <w:sz w:val="20"/>
          <w:szCs w:val="20"/>
        </w:rPr>
        <w:t xml:space="preserve">Filharmonii Śląskiej im. Henryka Mikołaja Góreckiego w Katowicach </w:t>
      </w:r>
      <w:r w:rsidRPr="00FB7A03">
        <w:rPr>
          <w:rFonts w:ascii="Tahoma" w:hAnsi="Tahoma" w:cs="Tahoma"/>
          <w:noProof/>
          <w:sz w:val="20"/>
          <w:szCs w:val="20"/>
        </w:rPr>
        <w:t xml:space="preserve">oraz członków ich rodzin </w:t>
      </w:r>
      <w:r w:rsidRPr="00FB7A03">
        <w:rPr>
          <w:rFonts w:ascii="Tahoma" w:hAnsi="Tahoma" w:cs="Tahoma"/>
          <w:bCs/>
          <w:noProof/>
          <w:sz w:val="20"/>
          <w:szCs w:val="20"/>
        </w:rPr>
        <w:t xml:space="preserve">winna gwarantować Ubezpieczonym prawo do indywidualnej </w:t>
      </w:r>
      <w:r w:rsidRPr="00FB7A03">
        <w:rPr>
          <w:rFonts w:ascii="Tahoma" w:hAnsi="Tahoma" w:cs="Tahoma"/>
          <w:sz w:val="20"/>
          <w:szCs w:val="20"/>
        </w:rPr>
        <w:t>kontynuacji</w:t>
      </w:r>
      <w:r w:rsidRPr="00FB7A03">
        <w:rPr>
          <w:rFonts w:ascii="Tahoma" w:hAnsi="Tahoma" w:cs="Tahoma"/>
          <w:bCs/>
          <w:noProof/>
          <w:sz w:val="20"/>
          <w:szCs w:val="20"/>
        </w:rPr>
        <w:t xml:space="preserve"> ubezpieczenia po ustaniu stosunku prawnego łączącego Ubezpieczonego </w:t>
      </w:r>
      <w:r w:rsidRPr="00FB7A03">
        <w:rPr>
          <w:rFonts w:ascii="Tahoma" w:hAnsi="Tahoma" w:cs="Tahoma"/>
          <w:bCs/>
          <w:noProof/>
          <w:sz w:val="20"/>
          <w:szCs w:val="20"/>
        </w:rPr>
        <w:br/>
        <w:t xml:space="preserve">z Ubezpieczającym. Minimalny zakres ubezpieczenia w ramach Indywidualnej Kontynuacji winien obejmować następujący zakres: </w:t>
      </w:r>
    </w:p>
    <w:p w:rsidR="00CC10AA" w:rsidRPr="00FB7A03" w:rsidRDefault="00CC10AA" w:rsidP="006D637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noProof/>
          <w:sz w:val="20"/>
          <w:szCs w:val="20"/>
        </w:rPr>
      </w:pPr>
      <w:r w:rsidRPr="00FB7A03">
        <w:rPr>
          <w:rFonts w:ascii="Tahoma" w:hAnsi="Tahoma" w:cs="Tahoma"/>
          <w:bCs/>
          <w:noProof/>
          <w:sz w:val="20"/>
          <w:szCs w:val="20"/>
        </w:rPr>
        <w:t>śmierć ubezpieczonego,</w:t>
      </w:r>
    </w:p>
    <w:p w:rsidR="00CC10AA" w:rsidRPr="00FB7A03" w:rsidRDefault="00CC10AA" w:rsidP="006D637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noProof/>
          <w:sz w:val="20"/>
          <w:szCs w:val="20"/>
        </w:rPr>
      </w:pPr>
      <w:r w:rsidRPr="00FB7A03">
        <w:rPr>
          <w:rFonts w:ascii="Tahoma" w:hAnsi="Tahoma" w:cs="Tahoma"/>
          <w:bCs/>
          <w:noProof/>
          <w:sz w:val="20"/>
          <w:szCs w:val="20"/>
        </w:rPr>
        <w:t xml:space="preserve">śmierć ubezpieczonego </w:t>
      </w:r>
      <w:r w:rsidRPr="00FB7A03">
        <w:rPr>
          <w:rFonts w:ascii="Tahoma" w:hAnsi="Tahoma" w:cs="Tahoma"/>
          <w:bCs/>
          <w:sz w:val="20"/>
          <w:szCs w:val="20"/>
        </w:rPr>
        <w:t xml:space="preserve">w wyniku </w:t>
      </w:r>
      <w:r w:rsidRPr="00FB7A03">
        <w:rPr>
          <w:rFonts w:ascii="Tahoma" w:hAnsi="Tahoma" w:cs="Tahoma"/>
          <w:sz w:val="20"/>
          <w:szCs w:val="20"/>
        </w:rPr>
        <w:t>nieszczęśliwego wypadku</w:t>
      </w:r>
      <w:r w:rsidRPr="00FB7A03">
        <w:rPr>
          <w:rFonts w:ascii="Tahoma" w:hAnsi="Tahoma" w:cs="Tahoma"/>
          <w:bCs/>
          <w:noProof/>
          <w:sz w:val="20"/>
          <w:szCs w:val="20"/>
        </w:rPr>
        <w:t>,</w:t>
      </w:r>
    </w:p>
    <w:p w:rsidR="00CC10AA" w:rsidRPr="00FB7A03" w:rsidRDefault="00CC10AA" w:rsidP="006D637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noProof/>
          <w:sz w:val="20"/>
          <w:szCs w:val="20"/>
        </w:rPr>
      </w:pPr>
      <w:r w:rsidRPr="00FB7A03">
        <w:rPr>
          <w:rFonts w:ascii="Tahoma" w:hAnsi="Tahoma" w:cs="Tahoma"/>
          <w:bCs/>
          <w:noProof/>
          <w:sz w:val="20"/>
          <w:szCs w:val="20"/>
        </w:rPr>
        <w:t xml:space="preserve">trwały uszczerbek na zdrowiu </w:t>
      </w:r>
      <w:r w:rsidRPr="00FB7A03">
        <w:rPr>
          <w:rFonts w:ascii="Tahoma" w:hAnsi="Tahoma" w:cs="Tahoma"/>
          <w:bCs/>
          <w:sz w:val="20"/>
          <w:szCs w:val="20"/>
        </w:rPr>
        <w:t xml:space="preserve">w wyniku </w:t>
      </w:r>
      <w:r w:rsidRPr="00FB7A03">
        <w:rPr>
          <w:rFonts w:ascii="Tahoma" w:hAnsi="Tahoma" w:cs="Tahoma"/>
          <w:sz w:val="20"/>
          <w:szCs w:val="20"/>
        </w:rPr>
        <w:t>nieszczęśliwego wypadku</w:t>
      </w:r>
      <w:r w:rsidRPr="00FB7A03">
        <w:rPr>
          <w:rFonts w:ascii="Tahoma" w:hAnsi="Tahoma" w:cs="Tahoma"/>
          <w:bCs/>
          <w:noProof/>
          <w:sz w:val="20"/>
          <w:szCs w:val="20"/>
        </w:rPr>
        <w:t>,</w:t>
      </w:r>
    </w:p>
    <w:p w:rsidR="00CC10AA" w:rsidRPr="00FB7A03" w:rsidRDefault="00CC10AA" w:rsidP="006D637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noProof/>
          <w:sz w:val="20"/>
          <w:szCs w:val="20"/>
        </w:rPr>
      </w:pPr>
      <w:r w:rsidRPr="00FB7A03">
        <w:rPr>
          <w:rFonts w:ascii="Tahoma" w:hAnsi="Tahoma" w:cs="Tahoma"/>
          <w:bCs/>
          <w:noProof/>
          <w:sz w:val="20"/>
          <w:szCs w:val="20"/>
        </w:rPr>
        <w:t>śmierć współmałżonka,</w:t>
      </w:r>
    </w:p>
    <w:p w:rsidR="00CC10AA" w:rsidRPr="00FB7A03" w:rsidRDefault="00CC10AA" w:rsidP="006D637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noProof/>
          <w:sz w:val="20"/>
          <w:szCs w:val="20"/>
        </w:rPr>
      </w:pPr>
      <w:r w:rsidRPr="00FB7A03">
        <w:rPr>
          <w:rFonts w:ascii="Tahoma" w:hAnsi="Tahoma" w:cs="Tahoma"/>
          <w:bCs/>
          <w:noProof/>
          <w:sz w:val="20"/>
          <w:szCs w:val="20"/>
        </w:rPr>
        <w:t>śmierć rodziców ubezpieczonego,</w:t>
      </w:r>
    </w:p>
    <w:p w:rsidR="00CC10AA" w:rsidRPr="00FB7A03" w:rsidRDefault="00CC10AA" w:rsidP="006D637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noProof/>
          <w:sz w:val="20"/>
          <w:szCs w:val="20"/>
        </w:rPr>
      </w:pPr>
      <w:r w:rsidRPr="00FB7A03">
        <w:rPr>
          <w:rFonts w:ascii="Tahoma" w:hAnsi="Tahoma" w:cs="Tahoma"/>
          <w:bCs/>
          <w:noProof/>
          <w:sz w:val="20"/>
          <w:szCs w:val="20"/>
        </w:rPr>
        <w:t>śmierć teściów ubezpieczonego,</w:t>
      </w:r>
    </w:p>
    <w:p w:rsidR="00CC10AA" w:rsidRPr="00FB7A03" w:rsidRDefault="00CC10AA" w:rsidP="006D637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noProof/>
          <w:sz w:val="20"/>
          <w:szCs w:val="20"/>
        </w:rPr>
      </w:pPr>
      <w:r w:rsidRPr="00FB7A03">
        <w:rPr>
          <w:rFonts w:ascii="Tahoma" w:hAnsi="Tahoma" w:cs="Tahoma"/>
          <w:bCs/>
          <w:noProof/>
          <w:sz w:val="20"/>
          <w:szCs w:val="20"/>
        </w:rPr>
        <w:t>urodzenie się dziecka ubezpieczonemu.</w:t>
      </w:r>
    </w:p>
    <w:p w:rsidR="00CC10AA" w:rsidRPr="00FB7A03" w:rsidRDefault="00CC10AA" w:rsidP="00977D49">
      <w:pPr>
        <w:shd w:val="clear" w:color="auto" w:fill="FFFFFF"/>
        <w:tabs>
          <w:tab w:val="num" w:pos="4752"/>
        </w:tabs>
        <w:overflowPunct w:val="0"/>
        <w:autoSpaceDE w:val="0"/>
        <w:autoSpaceDN w:val="0"/>
        <w:adjustRightInd w:val="0"/>
        <w:ind w:left="426" w:right="14"/>
        <w:jc w:val="both"/>
        <w:textAlignment w:val="baseline"/>
        <w:rPr>
          <w:rFonts w:ascii="Tahoma" w:hAnsi="Tahoma" w:cs="Tahoma"/>
          <w:noProof/>
          <w:sz w:val="20"/>
          <w:szCs w:val="20"/>
        </w:rPr>
      </w:pPr>
      <w:r w:rsidRPr="00FB7A03">
        <w:rPr>
          <w:rFonts w:ascii="Tahoma" w:hAnsi="Tahoma" w:cs="Tahoma"/>
          <w:noProof/>
          <w:sz w:val="20"/>
          <w:szCs w:val="20"/>
        </w:rPr>
        <w:t>Warunki ubezpieczenia indywidualnie kontynuowanego, w tym zakres ubezpieczenia i wysokość składki od 1.000 zł sumy ubezpieczenia, zostaną określone w momencie złożenia wniosku o zawarcie umowy ubezpieczenia indywidualnie kontynuowanego i będą obowiązywały bez zmian dożywotnio.</w:t>
      </w:r>
    </w:p>
    <w:p w:rsidR="00CC10AA" w:rsidRPr="00FB7A03" w:rsidRDefault="00CC10AA" w:rsidP="00977D49">
      <w:pPr>
        <w:tabs>
          <w:tab w:val="num" w:pos="3900"/>
          <w:tab w:val="num" w:pos="4752"/>
        </w:tabs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="Tahoma" w:hAnsi="Tahoma" w:cs="Tahoma"/>
          <w:bCs/>
          <w:noProof/>
          <w:sz w:val="20"/>
          <w:szCs w:val="20"/>
        </w:rPr>
      </w:pPr>
      <w:r w:rsidRPr="00FB7A03">
        <w:rPr>
          <w:rFonts w:ascii="Tahoma" w:hAnsi="Tahoma" w:cs="Tahoma"/>
          <w:bCs/>
          <w:noProof/>
          <w:sz w:val="20"/>
          <w:szCs w:val="20"/>
        </w:rPr>
        <w:t xml:space="preserve">Ubezpieczyciel zapewni możliwość przystąpienia do ubezpieczenia indywidualnie kontynuowanego </w:t>
      </w:r>
      <w:r w:rsidRPr="00FB7A03">
        <w:rPr>
          <w:rFonts w:ascii="Tahoma" w:hAnsi="Tahoma" w:cs="Tahoma"/>
          <w:bCs/>
          <w:noProof/>
          <w:sz w:val="20"/>
          <w:szCs w:val="20"/>
        </w:rPr>
        <w:br/>
        <w:t>w przeciągu 3 pełnych miesięcy kalendarzowych od ustania stosunku prawnego łączącego ubezpieczonego pracownika opłacającego składkę z Ubezpieczającym.</w:t>
      </w:r>
    </w:p>
    <w:p w:rsidR="00CC10AA" w:rsidRPr="00FB7A03" w:rsidRDefault="00CC10AA" w:rsidP="00977D49">
      <w:pPr>
        <w:tabs>
          <w:tab w:val="num" w:pos="3900"/>
          <w:tab w:val="num" w:pos="4752"/>
        </w:tabs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="Tahoma" w:hAnsi="Tahoma" w:cs="Tahoma"/>
          <w:bCs/>
          <w:noProof/>
          <w:sz w:val="20"/>
          <w:szCs w:val="20"/>
        </w:rPr>
      </w:pPr>
      <w:r w:rsidRPr="00FB7A03">
        <w:rPr>
          <w:rFonts w:ascii="Tahoma" w:hAnsi="Tahoma" w:cs="Tahoma"/>
          <w:bCs/>
          <w:noProof/>
          <w:sz w:val="20"/>
          <w:szCs w:val="20"/>
        </w:rPr>
        <w:t>Ubezpieczony uzyskuje prawo do indywidualnej kontynuacji ubezpieczenia w przypadku opłacenia składek za okres 6 miesięcy poprzedzających moment ustania stosunku prawnego łączącego ubezpieczonego pracownika opłacającego składkę z Ubezpieczającym.</w:t>
      </w:r>
    </w:p>
    <w:p w:rsidR="00CC10AA" w:rsidRPr="00FB7A03" w:rsidRDefault="00CC10AA" w:rsidP="00977D49">
      <w:pPr>
        <w:tabs>
          <w:tab w:val="num" w:pos="3900"/>
          <w:tab w:val="num" w:pos="4752"/>
        </w:tabs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="Tahoma" w:hAnsi="Tahoma" w:cs="Tahoma"/>
          <w:bCs/>
          <w:noProof/>
          <w:sz w:val="20"/>
          <w:szCs w:val="20"/>
        </w:rPr>
      </w:pPr>
      <w:r w:rsidRPr="00FB7A03">
        <w:rPr>
          <w:rFonts w:ascii="Tahoma" w:hAnsi="Tahoma" w:cs="Tahoma"/>
          <w:bCs/>
          <w:noProof/>
          <w:sz w:val="20"/>
          <w:szCs w:val="20"/>
        </w:rPr>
        <w:t>Ubezpieczyciel uzna staż Ubezpieczonego w dotychczasowym programie grupowego ubezpieczenia na życie, niezbędny do nabycia uprawnień do indywidualnego kontynuowania ubezpieczenia, o ile zachowana została ciągłość ochrony.</w:t>
      </w:r>
    </w:p>
    <w:p w:rsidR="00CC10AA" w:rsidRPr="00FB7A03" w:rsidRDefault="00CC10AA" w:rsidP="00977D49">
      <w:pPr>
        <w:tabs>
          <w:tab w:val="num" w:pos="3900"/>
          <w:tab w:val="num" w:pos="475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noProof/>
          <w:sz w:val="20"/>
          <w:szCs w:val="20"/>
        </w:rPr>
      </w:pPr>
      <w:r w:rsidRPr="00FB7A03">
        <w:rPr>
          <w:rFonts w:ascii="Tahoma" w:hAnsi="Tahoma" w:cs="Tahoma"/>
          <w:noProof/>
          <w:sz w:val="20"/>
          <w:szCs w:val="20"/>
        </w:rPr>
        <w:t xml:space="preserve">Kontynuacja oznacza zapewnienie ciągłości ochrony ubezpieczeniowej w odniesieniu do świadczeń, które Ubezpieczony wybrał w ramach polisy indywidualnej, a które posiadał już wcześniej, w ramach ubezpieczenia grupowego.  </w:t>
      </w:r>
    </w:p>
    <w:p w:rsidR="00CC10AA" w:rsidRPr="00FB7A03" w:rsidRDefault="00CC10AA" w:rsidP="00977D49">
      <w:pPr>
        <w:tabs>
          <w:tab w:val="num" w:pos="3900"/>
          <w:tab w:val="num" w:pos="475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noProof/>
          <w:sz w:val="20"/>
          <w:szCs w:val="20"/>
        </w:rPr>
      </w:pPr>
      <w:r w:rsidRPr="00FB7A03">
        <w:rPr>
          <w:rFonts w:ascii="Tahoma" w:hAnsi="Tahoma" w:cs="Tahoma"/>
          <w:noProof/>
          <w:sz w:val="20"/>
          <w:szCs w:val="20"/>
        </w:rPr>
        <w:t>W odniesieniu do każdej osoby, która złoży wniosek o indywidualną kontynuację ubezpieczenia i opłaci składkę w ciągu 3 miesięcy od wystąpienia z ubezpieczenia grupowego, Ubezpieczyciel nie może stosować żadnego ograniczenia czasowego wypłaty poszczególnych świadczeń (brak okresu karencji).</w:t>
      </w:r>
    </w:p>
    <w:p w:rsidR="00CC10AA" w:rsidRPr="00FB7A03" w:rsidRDefault="00CC10AA" w:rsidP="00977D4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CC10AA" w:rsidRPr="00FB7A03" w:rsidRDefault="00CC10AA" w:rsidP="00977D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FF0000"/>
          <w:sz w:val="20"/>
          <w:szCs w:val="20"/>
        </w:rPr>
      </w:pPr>
    </w:p>
    <w:p w:rsidR="007C1BED" w:rsidRPr="00FB7A03" w:rsidRDefault="007C1BED" w:rsidP="00977D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color w:val="FF0000"/>
          <w:sz w:val="20"/>
          <w:szCs w:val="20"/>
        </w:rPr>
      </w:pPr>
      <w:r w:rsidRPr="00FB7A03">
        <w:rPr>
          <w:rFonts w:ascii="Tahoma" w:hAnsi="Tahoma" w:cs="Tahoma"/>
          <w:b/>
          <w:color w:val="FF0000"/>
          <w:sz w:val="20"/>
          <w:szCs w:val="20"/>
        </w:rPr>
        <w:t xml:space="preserve">ZAKRES UBEZPIECZENIA I WYSOKOŚĆ ŚWIADCZEŃ - </w:t>
      </w:r>
      <w:r w:rsidRPr="00FB7A03">
        <w:rPr>
          <w:rFonts w:ascii="Tahoma" w:hAnsi="Tahoma" w:cs="Tahoma"/>
          <w:color w:val="FF0000"/>
          <w:sz w:val="20"/>
          <w:szCs w:val="20"/>
        </w:rPr>
        <w:t xml:space="preserve">zostały określone w </w:t>
      </w:r>
      <w:r w:rsidRPr="00FB7A03">
        <w:rPr>
          <w:rFonts w:ascii="Tahoma" w:hAnsi="Tahoma" w:cs="Tahoma"/>
          <w:b/>
          <w:color w:val="FF0000"/>
          <w:sz w:val="20"/>
          <w:szCs w:val="20"/>
        </w:rPr>
        <w:t>Z</w:t>
      </w:r>
      <w:r w:rsidR="00593A41" w:rsidRPr="00FB7A03">
        <w:rPr>
          <w:rFonts w:ascii="Tahoma" w:hAnsi="Tahoma" w:cs="Tahoma"/>
          <w:b/>
          <w:color w:val="FF0000"/>
          <w:sz w:val="20"/>
          <w:szCs w:val="20"/>
        </w:rPr>
        <w:t xml:space="preserve">AŁĄCZNIKU NR </w:t>
      </w:r>
      <w:r w:rsidRPr="00FB7A03">
        <w:rPr>
          <w:rFonts w:ascii="Tahoma" w:hAnsi="Tahoma" w:cs="Tahoma"/>
          <w:b/>
          <w:color w:val="FF0000"/>
          <w:sz w:val="20"/>
          <w:szCs w:val="20"/>
        </w:rPr>
        <w:t>2</w:t>
      </w:r>
    </w:p>
    <w:p w:rsidR="007C1BED" w:rsidRPr="00FB7A03" w:rsidRDefault="007C1BED" w:rsidP="00977D49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ahoma" w:hAnsi="Tahoma" w:cs="Tahoma"/>
          <w:b/>
          <w:color w:val="FF0000"/>
          <w:sz w:val="20"/>
          <w:szCs w:val="20"/>
        </w:rPr>
      </w:pPr>
    </w:p>
    <w:p w:rsidR="007C1BED" w:rsidRPr="00FB7A03" w:rsidRDefault="007C1BED" w:rsidP="00977D49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ahoma" w:hAnsi="Tahoma" w:cs="Tahoma"/>
          <w:bCs/>
          <w:color w:val="FF0000"/>
          <w:sz w:val="20"/>
          <w:szCs w:val="20"/>
        </w:rPr>
      </w:pPr>
    </w:p>
    <w:p w:rsidR="007C1BED" w:rsidRPr="00FB7A03" w:rsidRDefault="007C1BED" w:rsidP="006D6379">
      <w:pPr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>TERMIN WYKONANIA ZAMÓWIENIA: od 01.11.2020r. do 31.10.2021r.</w:t>
      </w:r>
    </w:p>
    <w:p w:rsidR="007C1BED" w:rsidRPr="00FB7A03" w:rsidRDefault="007C1BED" w:rsidP="00977D49">
      <w:pPr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:rsidR="007C1BED" w:rsidRPr="00FB7A03" w:rsidRDefault="007C1BED" w:rsidP="00977D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iCs/>
          <w:sz w:val="20"/>
          <w:szCs w:val="20"/>
        </w:rPr>
      </w:pPr>
    </w:p>
    <w:p w:rsidR="0030212A" w:rsidRPr="00FB7A03" w:rsidRDefault="0030212A" w:rsidP="006D6379">
      <w:pPr>
        <w:numPr>
          <w:ilvl w:val="0"/>
          <w:numId w:val="1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 xml:space="preserve">KRYTERIA </w:t>
      </w:r>
      <w:r w:rsidR="0003055E" w:rsidRPr="00FB7A03">
        <w:rPr>
          <w:rFonts w:ascii="Tahoma" w:hAnsi="Tahoma" w:cs="Tahoma"/>
          <w:b/>
          <w:sz w:val="20"/>
          <w:szCs w:val="20"/>
        </w:rPr>
        <w:t xml:space="preserve">OCENY OFERT ORAZ </w:t>
      </w:r>
      <w:r w:rsidRPr="00FB7A03">
        <w:rPr>
          <w:rFonts w:ascii="Tahoma" w:hAnsi="Tahoma" w:cs="Tahoma"/>
          <w:b/>
          <w:sz w:val="20"/>
          <w:szCs w:val="20"/>
        </w:rPr>
        <w:t>WYBORU WYKONAWCY:</w:t>
      </w:r>
      <w:r w:rsidR="00A718E7" w:rsidRPr="00FB7A03">
        <w:t xml:space="preserve"> </w:t>
      </w:r>
    </w:p>
    <w:p w:rsidR="0003055E" w:rsidRPr="00FB7A03" w:rsidRDefault="0003055E" w:rsidP="006D6379">
      <w:pPr>
        <w:keepNext/>
        <w:numPr>
          <w:ilvl w:val="1"/>
          <w:numId w:val="8"/>
        </w:numPr>
        <w:tabs>
          <w:tab w:val="left" w:pos="357"/>
        </w:tabs>
        <w:suppressAutoHyphens/>
        <w:ind w:left="357"/>
        <w:outlineLvl w:val="1"/>
        <w:rPr>
          <w:rFonts w:ascii="Tahoma" w:eastAsia="MS Mincho" w:hAnsi="Tahoma" w:cs="Tahoma"/>
          <w:b/>
          <w:bCs/>
          <w:iCs/>
          <w:sz w:val="20"/>
          <w:szCs w:val="20"/>
          <w:lang w:eastAsia="ar-SA"/>
        </w:rPr>
      </w:pPr>
    </w:p>
    <w:p w:rsidR="0003055E" w:rsidRPr="00FB7A03" w:rsidRDefault="0003055E" w:rsidP="006D6379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MS Mincho" w:hAnsi="Tahoma" w:cs="Tahoma"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t xml:space="preserve">Ubezpieczający udzieli zamówienia Ubezpieczycielowi, którego oferta odpowiada wymogom określonym </w:t>
      </w: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br/>
        <w:t>w niniejszym Zapytaniu Ofertowym oraz zostanie uznana za najkorzystniejszą z punktu widzenia kryteriów przyjętych w niniejszym postępowaniu i określonych poniżej.</w:t>
      </w:r>
    </w:p>
    <w:p w:rsidR="0003055E" w:rsidRPr="00FB7A03" w:rsidRDefault="0003055E" w:rsidP="006D6379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MS Mincho" w:hAnsi="Tahoma" w:cs="Tahoma"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t>Przy wyborze oferty najkorzystniejszej Ubezpieczający będzie kierować się następującymi kryteriami:</w:t>
      </w:r>
    </w:p>
    <w:p w:rsidR="0003055E" w:rsidRPr="00FB7A03" w:rsidRDefault="0003055E" w:rsidP="0003055E">
      <w:pPr>
        <w:widowControl w:val="0"/>
        <w:suppressAutoHyphens/>
        <w:autoSpaceDE w:val="0"/>
        <w:ind w:left="567"/>
        <w:jc w:val="both"/>
        <w:rPr>
          <w:rFonts w:ascii="Tahoma" w:eastAsia="MS Mincho" w:hAnsi="Tahoma" w:cs="Tahoma"/>
          <w:kern w:val="1"/>
          <w:sz w:val="20"/>
          <w:szCs w:val="20"/>
          <w:lang w:eastAsia="ar-SA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/>
      </w:tblPr>
      <w:tblGrid>
        <w:gridCol w:w="506"/>
        <w:gridCol w:w="1420"/>
        <w:gridCol w:w="1188"/>
        <w:gridCol w:w="5670"/>
      </w:tblGrid>
      <w:tr w:rsidR="0003055E" w:rsidRPr="00FB7A03" w:rsidTr="00070CF0">
        <w:trPr>
          <w:trHeight w:val="30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5E" w:rsidRPr="00FB7A03" w:rsidRDefault="0003055E" w:rsidP="0003055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B7A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5E" w:rsidRPr="00FB7A03" w:rsidRDefault="0003055E" w:rsidP="0003055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B7A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5E" w:rsidRPr="00FB7A03" w:rsidRDefault="0003055E" w:rsidP="0003055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B7A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5E" w:rsidRPr="00FB7A03" w:rsidRDefault="0003055E" w:rsidP="0003055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B7A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Metoda oceny</w:t>
            </w:r>
          </w:p>
        </w:tc>
      </w:tr>
      <w:tr w:rsidR="0003055E" w:rsidRPr="00FB7A03" w:rsidTr="00070CF0">
        <w:trPr>
          <w:trHeight w:val="8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5E" w:rsidRPr="00FB7A03" w:rsidRDefault="0003055E" w:rsidP="0003055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A03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5E" w:rsidRPr="00FB7A03" w:rsidRDefault="0003055E" w:rsidP="0003055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A03">
              <w:rPr>
                <w:rFonts w:ascii="Tahoma" w:hAnsi="Tahoma" w:cs="Tahoma"/>
                <w:color w:val="000000"/>
                <w:sz w:val="20"/>
                <w:szCs w:val="20"/>
              </w:rPr>
              <w:t>Cena</w:t>
            </w:r>
          </w:p>
          <w:p w:rsidR="002827F7" w:rsidRPr="00FB7A03" w:rsidRDefault="002827F7" w:rsidP="002827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A03">
              <w:rPr>
                <w:rFonts w:ascii="Tahoma" w:hAnsi="Tahoma" w:cs="Tahoma"/>
                <w:color w:val="000000"/>
                <w:sz w:val="20"/>
                <w:szCs w:val="20"/>
              </w:rPr>
              <w:t>wyliczona wg wzoru w zał. nr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5E" w:rsidRPr="00FB7A03" w:rsidRDefault="0003055E" w:rsidP="0003055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A03">
              <w:rPr>
                <w:rFonts w:ascii="Tahoma" w:hAnsi="Tahoma" w:cs="Tahoma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5E" w:rsidRPr="00FB7A03" w:rsidRDefault="0003055E" w:rsidP="0003055E">
            <w:pPr>
              <w:suppressAutoHyphens/>
              <w:rPr>
                <w:rFonts w:eastAsia="MS Mincho"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tblInd w:w="38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432"/>
              <w:gridCol w:w="2166"/>
            </w:tblGrid>
            <w:tr w:rsidR="0003055E" w:rsidRPr="00FB7A03" w:rsidTr="00E938B9">
              <w:trPr>
                <w:cantSplit/>
              </w:trPr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055E" w:rsidRPr="00FB7A03" w:rsidRDefault="0003055E" w:rsidP="0003055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uppressAutoHyphens/>
                    <w:jc w:val="center"/>
                    <w:rPr>
                      <w:rFonts w:ascii="Tahoma" w:eastAsia="MS Mincho" w:hAnsi="Tahoma" w:cs="Tahoma"/>
                      <w:iCs/>
                      <w:sz w:val="20"/>
                      <w:szCs w:val="20"/>
                      <w:lang w:eastAsia="ar-SA"/>
                    </w:rPr>
                  </w:pPr>
                  <w:r w:rsidRPr="00FB7A03">
                    <w:rPr>
                      <w:rFonts w:ascii="Tahoma" w:eastAsia="MS Mincho" w:hAnsi="Tahoma" w:cs="Tahoma"/>
                      <w:iCs/>
                      <w:sz w:val="20"/>
                      <w:szCs w:val="20"/>
                      <w:lang w:eastAsia="ar-SA"/>
                    </w:rPr>
                    <w:t>najniższa zaoferowana cena oferty</w:t>
                  </w:r>
                </w:p>
              </w:tc>
              <w:tc>
                <w:tcPr>
                  <w:tcW w:w="2166" w:type="dxa"/>
                  <w:vMerge w:val="restart"/>
                  <w:vAlign w:val="center"/>
                </w:tcPr>
                <w:p w:rsidR="0003055E" w:rsidRPr="00FB7A03" w:rsidRDefault="0003055E" w:rsidP="0003055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uppressAutoHyphens/>
                    <w:rPr>
                      <w:rFonts w:ascii="Tahoma" w:eastAsia="MS Mincho" w:hAnsi="Tahoma" w:cs="Tahoma"/>
                      <w:b/>
                      <w:bCs/>
                      <w:iCs/>
                      <w:sz w:val="28"/>
                      <w:szCs w:val="28"/>
                      <w:lang w:eastAsia="ar-SA"/>
                    </w:rPr>
                  </w:pPr>
                </w:p>
                <w:p w:rsidR="0003055E" w:rsidRPr="00FB7A03" w:rsidRDefault="0003055E" w:rsidP="0003055E">
                  <w:pPr>
                    <w:tabs>
                      <w:tab w:val="left" w:pos="436"/>
                      <w:tab w:val="left" w:pos="708"/>
                      <w:tab w:val="center" w:pos="4536"/>
                      <w:tab w:val="right" w:pos="9072"/>
                    </w:tabs>
                    <w:suppressAutoHyphens/>
                    <w:rPr>
                      <w:rFonts w:ascii="Tahoma" w:eastAsia="MS Mincho" w:hAnsi="Tahoma" w:cs="Tahoma"/>
                      <w:iCs/>
                      <w:sz w:val="20"/>
                      <w:szCs w:val="20"/>
                      <w:lang w:eastAsia="ar-SA"/>
                    </w:rPr>
                  </w:pPr>
                  <w:r w:rsidRPr="00FB7A03">
                    <w:rPr>
                      <w:rFonts w:ascii="Tahoma" w:eastAsia="MS Mincho" w:hAnsi="Tahoma" w:cs="Tahoma"/>
                      <w:iCs/>
                      <w:sz w:val="20"/>
                      <w:szCs w:val="20"/>
                      <w:lang w:eastAsia="ar-SA"/>
                    </w:rPr>
                    <w:t xml:space="preserve"> x 100   x 20%</w:t>
                  </w:r>
                </w:p>
                <w:p w:rsidR="0003055E" w:rsidRPr="00FB7A03" w:rsidRDefault="0003055E" w:rsidP="0003055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uppressAutoHyphens/>
                    <w:rPr>
                      <w:rFonts w:ascii="Tahoma" w:eastAsia="MS Mincho" w:hAnsi="Tahoma" w:cs="Tahoma"/>
                      <w:iCs/>
                      <w:sz w:val="20"/>
                      <w:szCs w:val="20"/>
                      <w:lang w:eastAsia="ar-SA"/>
                    </w:rPr>
                  </w:pPr>
                </w:p>
                <w:p w:rsidR="0003055E" w:rsidRPr="00FB7A03" w:rsidRDefault="0003055E" w:rsidP="0003055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uppressAutoHyphens/>
                    <w:rPr>
                      <w:rFonts w:ascii="Tahoma" w:eastAsia="MS Mincho" w:hAnsi="Tahoma" w:cs="Tahoma"/>
                      <w:i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03055E" w:rsidRPr="00FB7A03" w:rsidTr="00E938B9">
              <w:trPr>
                <w:cantSplit/>
                <w:trHeight w:val="335"/>
              </w:trPr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055E" w:rsidRPr="00FB7A03" w:rsidRDefault="0003055E" w:rsidP="0003055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uppressAutoHyphens/>
                    <w:ind w:left="-83" w:firstLine="83"/>
                    <w:jc w:val="center"/>
                    <w:rPr>
                      <w:rFonts w:ascii="Tahoma" w:eastAsia="MS Mincho" w:hAnsi="Tahoma" w:cs="Tahoma"/>
                      <w:iCs/>
                      <w:sz w:val="20"/>
                      <w:szCs w:val="20"/>
                      <w:lang w:eastAsia="ar-SA"/>
                    </w:rPr>
                  </w:pPr>
                  <w:r w:rsidRPr="00FB7A03">
                    <w:rPr>
                      <w:rFonts w:ascii="Tahoma" w:eastAsia="MS Mincho" w:hAnsi="Tahoma" w:cs="Tahoma"/>
                      <w:iCs/>
                      <w:sz w:val="20"/>
                      <w:szCs w:val="20"/>
                      <w:lang w:eastAsia="ar-SA"/>
                    </w:rPr>
                    <w:t xml:space="preserve"> cena oferty badanej 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3055E" w:rsidRPr="00FB7A03" w:rsidRDefault="0003055E" w:rsidP="0003055E">
                  <w:pPr>
                    <w:suppressAutoHyphens/>
                    <w:rPr>
                      <w:rFonts w:ascii="Tahoma" w:eastAsia="MS Mincho" w:hAnsi="Tahoma" w:cs="Tahoma"/>
                      <w:b/>
                      <w:iCs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03055E" w:rsidRPr="00FB7A03" w:rsidRDefault="0003055E" w:rsidP="000305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3055E" w:rsidRPr="00FB7A03" w:rsidTr="00070CF0">
        <w:trPr>
          <w:trHeight w:val="6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5E" w:rsidRPr="00FB7A03" w:rsidRDefault="0003055E" w:rsidP="0003055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A03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5E" w:rsidRPr="00FB7A03" w:rsidRDefault="002827F7" w:rsidP="002827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A03">
              <w:rPr>
                <w:rFonts w:ascii="Tahoma" w:hAnsi="Tahoma" w:cs="Tahoma"/>
                <w:color w:val="000000"/>
                <w:sz w:val="20"/>
                <w:szCs w:val="20"/>
              </w:rPr>
              <w:t>Zakres ubezpieczenia i w</w:t>
            </w:r>
            <w:r w:rsidR="0003055E" w:rsidRPr="00FB7A03">
              <w:rPr>
                <w:rFonts w:ascii="Tahoma" w:hAnsi="Tahoma" w:cs="Tahoma"/>
                <w:color w:val="000000"/>
                <w:sz w:val="20"/>
                <w:szCs w:val="20"/>
              </w:rPr>
              <w:t>ysokość świadczeń</w:t>
            </w:r>
          </w:p>
          <w:p w:rsidR="002827F7" w:rsidRPr="00FB7A03" w:rsidRDefault="002827F7" w:rsidP="002827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A03">
              <w:rPr>
                <w:rFonts w:ascii="Tahoma" w:hAnsi="Tahoma" w:cs="Tahoma"/>
                <w:color w:val="000000"/>
                <w:sz w:val="20"/>
                <w:szCs w:val="20"/>
              </w:rPr>
              <w:t>wg zał. nr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5E" w:rsidRPr="00FB7A03" w:rsidRDefault="0003055E" w:rsidP="0003055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A03">
              <w:rPr>
                <w:rFonts w:ascii="Tahoma" w:hAnsi="Tahoma" w:cs="Tahoma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0" w:type="auto"/>
              <w:tblInd w:w="38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135"/>
              <w:gridCol w:w="1463"/>
            </w:tblGrid>
            <w:tr w:rsidR="0003055E" w:rsidRPr="00FB7A03" w:rsidTr="00E938B9">
              <w:trPr>
                <w:cantSplit/>
              </w:trPr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055E" w:rsidRPr="00FB7A03" w:rsidRDefault="0003055E" w:rsidP="0003055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uppressAutoHyphens/>
                    <w:jc w:val="center"/>
                    <w:rPr>
                      <w:rFonts w:ascii="Tahoma" w:eastAsia="MS Mincho" w:hAnsi="Tahoma" w:cs="Tahoma"/>
                      <w:iCs/>
                      <w:sz w:val="20"/>
                      <w:szCs w:val="20"/>
                      <w:lang w:eastAsia="ar-SA"/>
                    </w:rPr>
                  </w:pPr>
                  <w:r w:rsidRPr="00FB7A0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274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747"/>
                  </w:tblGrid>
                  <w:tr w:rsidR="0003055E" w:rsidRPr="00FB7A03" w:rsidTr="00E938B9">
                    <w:trPr>
                      <w:trHeight w:val="205"/>
                    </w:trPr>
                    <w:tc>
                      <w:tcPr>
                        <w:tcW w:w="2747" w:type="dxa"/>
                      </w:tcPr>
                      <w:p w:rsidR="0003055E" w:rsidRPr="00FB7A03" w:rsidRDefault="0003055E" w:rsidP="00FB7A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eastAsia="MS Mincho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B7A03">
                          <w:rPr>
                            <w:rFonts w:ascii="Tahoma" w:eastAsia="MS Mincho" w:hAnsi="Tahoma" w:cs="Tahoma"/>
                            <w:color w:val="000000"/>
                            <w:sz w:val="20"/>
                            <w:szCs w:val="20"/>
                          </w:rPr>
                          <w:t xml:space="preserve">łączna liczba punktów oferty badanej przyznanych zgodnie z </w:t>
                        </w:r>
                        <w:r w:rsidR="00FB7A03">
                          <w:rPr>
                            <w:rFonts w:ascii="Tahoma" w:eastAsia="MS Mincho" w:hAnsi="Tahoma" w:cs="Tahoma"/>
                            <w:color w:val="000000"/>
                            <w:sz w:val="20"/>
                            <w:szCs w:val="20"/>
                          </w:rPr>
                          <w:t xml:space="preserve"> tabelami w </w:t>
                        </w:r>
                        <w:r w:rsidR="002827F7" w:rsidRPr="00FB7A03">
                          <w:rPr>
                            <w:rFonts w:ascii="Tahoma" w:eastAsia="MS Mincho" w:hAnsi="Tahoma" w:cs="Tahoma"/>
                            <w:color w:val="000000"/>
                            <w:sz w:val="20"/>
                            <w:szCs w:val="20"/>
                          </w:rPr>
                          <w:t>załączniku nr 2</w:t>
                        </w:r>
                      </w:p>
                    </w:tc>
                  </w:tr>
                </w:tbl>
                <w:p w:rsidR="0003055E" w:rsidRPr="00FB7A03" w:rsidRDefault="0003055E" w:rsidP="0003055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uppressAutoHyphens/>
                    <w:jc w:val="center"/>
                    <w:rPr>
                      <w:rFonts w:ascii="Tahoma" w:eastAsia="MS Mincho" w:hAnsi="Tahoma" w:cs="Tahoma"/>
                      <w:i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63" w:type="dxa"/>
                  <w:vMerge w:val="restart"/>
                  <w:vAlign w:val="center"/>
                </w:tcPr>
                <w:p w:rsidR="0003055E" w:rsidRPr="00FB7A03" w:rsidRDefault="0003055E" w:rsidP="00FB7A03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uppressAutoHyphens/>
                    <w:spacing w:before="240"/>
                    <w:rPr>
                      <w:rFonts w:ascii="Tahoma" w:eastAsia="MS Mincho" w:hAnsi="Tahoma" w:cs="Tahoma"/>
                      <w:iCs/>
                      <w:sz w:val="20"/>
                      <w:szCs w:val="20"/>
                      <w:lang w:eastAsia="ar-SA"/>
                    </w:rPr>
                  </w:pPr>
                  <w:r w:rsidRPr="00FB7A03">
                    <w:rPr>
                      <w:rFonts w:ascii="Tahoma" w:eastAsia="MS Mincho" w:hAnsi="Tahoma" w:cs="Tahoma"/>
                      <w:iCs/>
                      <w:sz w:val="20"/>
                      <w:szCs w:val="20"/>
                      <w:lang w:eastAsia="ar-SA"/>
                    </w:rPr>
                    <w:t xml:space="preserve">x </w:t>
                  </w:r>
                  <w:r w:rsidR="002827F7" w:rsidRPr="00FB7A03">
                    <w:rPr>
                      <w:rFonts w:ascii="Tahoma" w:eastAsia="MS Mincho" w:hAnsi="Tahoma" w:cs="Tahoma"/>
                      <w:iCs/>
                      <w:sz w:val="20"/>
                      <w:szCs w:val="20"/>
                      <w:lang w:eastAsia="ar-SA"/>
                    </w:rPr>
                    <w:t xml:space="preserve">0,5  </w:t>
                  </w:r>
                  <w:r w:rsidRPr="00FB7A03">
                    <w:rPr>
                      <w:rFonts w:ascii="Tahoma" w:eastAsia="MS Mincho" w:hAnsi="Tahoma" w:cs="Tahoma"/>
                      <w:iCs/>
                      <w:sz w:val="20"/>
                      <w:szCs w:val="20"/>
                      <w:lang w:eastAsia="ar-SA"/>
                    </w:rPr>
                    <w:t>x 80%</w:t>
                  </w:r>
                </w:p>
              </w:tc>
            </w:tr>
            <w:tr w:rsidR="0003055E" w:rsidRPr="00FB7A03" w:rsidTr="00E938B9">
              <w:trPr>
                <w:cantSplit/>
              </w:trPr>
              <w:tc>
                <w:tcPr>
                  <w:tcW w:w="31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055E" w:rsidRPr="00FB7A03" w:rsidRDefault="0003055E" w:rsidP="00FB7A03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uppressAutoHyphens/>
                    <w:jc w:val="center"/>
                    <w:rPr>
                      <w:rFonts w:ascii="Tahoma" w:eastAsia="MS Mincho" w:hAnsi="Tahoma" w:cs="Tahoma"/>
                      <w:iCs/>
                      <w:sz w:val="20"/>
                      <w:szCs w:val="20"/>
                      <w:lang w:eastAsia="ar-SA"/>
                    </w:rPr>
                  </w:pPr>
                  <w:r w:rsidRPr="00FB7A03">
                    <w:rPr>
                      <w:rFonts w:ascii="Tahoma" w:eastAsia="MS Mincho" w:hAnsi="Tahoma" w:cs="Tahoma"/>
                      <w:sz w:val="20"/>
                      <w:szCs w:val="20"/>
                      <w:lang w:eastAsia="ar-SA"/>
                    </w:rPr>
                    <w:t>największa łączna liczba punktów spośród ocenianych ofert przyznanych zgodnie z</w:t>
                  </w:r>
                  <w:r w:rsidR="00FB7A03">
                    <w:rPr>
                      <w:rFonts w:ascii="Tahoma" w:eastAsia="MS Mincho" w:hAnsi="Tahoma" w:cs="Tahoma"/>
                      <w:sz w:val="20"/>
                      <w:szCs w:val="20"/>
                      <w:lang w:eastAsia="ar-SA"/>
                    </w:rPr>
                    <w:t> </w:t>
                  </w:r>
                  <w:r w:rsidR="002827F7" w:rsidRPr="00FB7A03">
                    <w:rPr>
                      <w:rFonts w:ascii="Tahoma" w:eastAsia="MS Mincho" w:hAnsi="Tahoma" w:cs="Tahoma"/>
                      <w:color w:val="000000"/>
                      <w:sz w:val="20"/>
                      <w:szCs w:val="20"/>
                    </w:rPr>
                    <w:t>tabelami w załączniku nr 2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3055E" w:rsidRPr="00FB7A03" w:rsidRDefault="0003055E" w:rsidP="0003055E">
                  <w:pPr>
                    <w:suppressAutoHyphens/>
                    <w:rPr>
                      <w:rFonts w:ascii="Tahoma" w:eastAsia="MS Mincho" w:hAnsi="Tahoma" w:cs="Tahoma"/>
                      <w:iCs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03055E" w:rsidRPr="00FB7A03" w:rsidRDefault="0003055E" w:rsidP="000305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3055E" w:rsidRPr="00FB7A03" w:rsidRDefault="0003055E" w:rsidP="0003055E">
      <w:pPr>
        <w:suppressAutoHyphens/>
        <w:autoSpaceDE w:val="0"/>
        <w:jc w:val="both"/>
        <w:rPr>
          <w:rFonts w:ascii="Tahoma" w:eastAsia="MS Mincho" w:hAnsi="Tahoma" w:cs="Tahoma"/>
          <w:sz w:val="20"/>
          <w:szCs w:val="20"/>
          <w:lang w:eastAsia="ar-SA"/>
        </w:rPr>
      </w:pPr>
    </w:p>
    <w:p w:rsidR="0003055E" w:rsidRPr="00FB7A03" w:rsidRDefault="0003055E" w:rsidP="006D6379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MS Mincho" w:hAnsi="Tahoma" w:cs="Tahoma"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t>Metoda oceny kryterium określonego w ust. 2 tabela pkt 2:</w:t>
      </w:r>
    </w:p>
    <w:p w:rsidR="0003055E" w:rsidRPr="00FB7A03" w:rsidRDefault="0003055E" w:rsidP="006D6379">
      <w:pPr>
        <w:widowControl w:val="0"/>
        <w:numPr>
          <w:ilvl w:val="0"/>
          <w:numId w:val="9"/>
        </w:numPr>
        <w:suppressAutoHyphens/>
        <w:autoSpaceDE w:val="0"/>
        <w:ind w:left="993" w:hanging="426"/>
        <w:jc w:val="both"/>
        <w:rPr>
          <w:rFonts w:ascii="Tahoma" w:eastAsia="MS Mincho" w:hAnsi="Tahoma" w:cs="Tahoma"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t>Ubezpieczający w formularzu ofertowym w ust. 3 dla każdego wariantu określił wagę w punktach dla każdego świadczenia;</w:t>
      </w:r>
    </w:p>
    <w:p w:rsidR="0003055E" w:rsidRPr="00FB7A03" w:rsidRDefault="0003055E" w:rsidP="006D6379">
      <w:pPr>
        <w:widowControl w:val="0"/>
        <w:numPr>
          <w:ilvl w:val="0"/>
          <w:numId w:val="9"/>
        </w:numPr>
        <w:suppressAutoHyphens/>
        <w:autoSpaceDE w:val="0"/>
        <w:ind w:left="993" w:hanging="426"/>
        <w:jc w:val="both"/>
        <w:rPr>
          <w:rFonts w:ascii="Tahoma" w:eastAsia="MS Mincho" w:hAnsi="Tahoma" w:cs="Tahoma"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t>Sposób obliczania punktacji dla każdego świadczenia w każdym z wariantów jest następujący</w:t>
      </w:r>
    </w:p>
    <w:p w:rsidR="00070CF0" w:rsidRPr="00FB7A03" w:rsidRDefault="00070CF0" w:rsidP="002827F7">
      <w:pPr>
        <w:suppressAutoHyphens/>
        <w:autoSpaceDE w:val="0"/>
        <w:jc w:val="both"/>
        <w:rPr>
          <w:rFonts w:ascii="Tahoma" w:eastAsia="MS Mincho" w:hAnsi="Tahoma" w:cs="Tahoma"/>
          <w:sz w:val="20"/>
          <w:szCs w:val="20"/>
          <w:lang w:eastAsia="ar-SA"/>
        </w:rPr>
      </w:pPr>
    </w:p>
    <w:p w:rsidR="00070CF0" w:rsidRPr="00FB7A03" w:rsidRDefault="00070CF0" w:rsidP="0003055E">
      <w:pPr>
        <w:suppressAutoHyphens/>
        <w:autoSpaceDE w:val="0"/>
        <w:ind w:firstLine="708"/>
        <w:jc w:val="both"/>
        <w:rPr>
          <w:rFonts w:ascii="Tahoma" w:eastAsia="MS Mincho" w:hAnsi="Tahoma" w:cs="Tahoma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017"/>
        <w:gridCol w:w="3415"/>
      </w:tblGrid>
      <w:tr w:rsidR="0003055E" w:rsidRPr="00FB7A03" w:rsidTr="00E938B9">
        <w:trPr>
          <w:cantSplit/>
          <w:jc w:val="center"/>
        </w:trPr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55E" w:rsidRPr="00FB7A03" w:rsidRDefault="0003055E" w:rsidP="0003055E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jc w:val="center"/>
              <w:rPr>
                <w:rFonts w:ascii="Tahoma" w:eastAsia="MS Mincho" w:hAnsi="Tahoma" w:cs="Tahoma"/>
                <w:iCs/>
                <w:sz w:val="20"/>
                <w:szCs w:val="20"/>
                <w:lang w:eastAsia="ar-SA"/>
              </w:rPr>
            </w:pPr>
            <w:r w:rsidRPr="00FB7A03">
              <w:rPr>
                <w:rFonts w:ascii="Tahoma" w:eastAsia="MS Mincho" w:hAnsi="Tahoma" w:cs="Tahoma"/>
                <w:iCs/>
                <w:sz w:val="20"/>
                <w:szCs w:val="20"/>
                <w:lang w:eastAsia="ar-SA"/>
              </w:rPr>
              <w:t>wysokość świadczenia w badanej ofercie</w:t>
            </w:r>
          </w:p>
        </w:tc>
        <w:tc>
          <w:tcPr>
            <w:tcW w:w="3415" w:type="dxa"/>
            <w:vMerge w:val="restart"/>
            <w:vAlign w:val="center"/>
          </w:tcPr>
          <w:p w:rsidR="0003055E" w:rsidRPr="00FB7A03" w:rsidRDefault="0003055E" w:rsidP="00FB7A03">
            <w:pPr>
              <w:tabs>
                <w:tab w:val="left" w:pos="171"/>
                <w:tab w:val="left" w:pos="708"/>
                <w:tab w:val="center" w:pos="4536"/>
                <w:tab w:val="right" w:pos="9072"/>
              </w:tabs>
              <w:suppressAutoHyphens/>
              <w:jc w:val="center"/>
              <w:rPr>
                <w:rFonts w:ascii="Tahoma" w:eastAsia="MS Mincho" w:hAnsi="Tahoma" w:cs="Tahoma"/>
                <w:iCs/>
                <w:sz w:val="20"/>
                <w:szCs w:val="20"/>
                <w:lang w:eastAsia="ar-SA"/>
              </w:rPr>
            </w:pPr>
            <w:r w:rsidRPr="00FB7A03">
              <w:rPr>
                <w:rFonts w:ascii="Tahoma" w:eastAsia="MS Mincho" w:hAnsi="Tahoma" w:cs="Tahoma"/>
                <w:iCs/>
                <w:sz w:val="20"/>
                <w:szCs w:val="20"/>
                <w:lang w:eastAsia="ar-SA"/>
              </w:rPr>
              <w:t xml:space="preserve">x  </w:t>
            </w:r>
            <w:r w:rsidR="00506D42" w:rsidRPr="00FB7A03">
              <w:rPr>
                <w:rFonts w:ascii="Tahoma" w:eastAsia="MS Mincho" w:hAnsi="Tahoma" w:cs="Tahoma"/>
                <w:iCs/>
                <w:sz w:val="20"/>
                <w:szCs w:val="20"/>
                <w:lang w:eastAsia="ar-SA"/>
              </w:rPr>
              <w:t xml:space="preserve"> punkty </w:t>
            </w:r>
            <w:r w:rsidRPr="00FB7A03">
              <w:rPr>
                <w:rFonts w:ascii="Tahoma" w:eastAsia="MS Mincho" w:hAnsi="Tahoma" w:cs="Tahoma"/>
                <w:iCs/>
                <w:sz w:val="20"/>
                <w:szCs w:val="20"/>
                <w:lang w:eastAsia="ar-SA"/>
              </w:rPr>
              <w:t>dla danego świadczenia</w:t>
            </w:r>
          </w:p>
        </w:tc>
      </w:tr>
      <w:tr w:rsidR="0003055E" w:rsidRPr="00FB7A03" w:rsidTr="00E938B9">
        <w:trPr>
          <w:cantSplit/>
          <w:jc w:val="center"/>
        </w:trPr>
        <w:tc>
          <w:tcPr>
            <w:tcW w:w="4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55E" w:rsidRPr="00FB7A03" w:rsidRDefault="0003055E" w:rsidP="0003055E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ind w:left="-83" w:firstLine="83"/>
              <w:jc w:val="center"/>
              <w:rPr>
                <w:rFonts w:ascii="Tahoma" w:eastAsia="MS Mincho" w:hAnsi="Tahoma" w:cs="Tahoma"/>
                <w:iCs/>
                <w:sz w:val="20"/>
                <w:szCs w:val="20"/>
                <w:lang w:eastAsia="ar-SA"/>
              </w:rPr>
            </w:pPr>
            <w:r w:rsidRPr="00FB7A03">
              <w:rPr>
                <w:rFonts w:ascii="Tahoma" w:eastAsia="MS Mincho" w:hAnsi="Tahoma" w:cs="Tahoma"/>
                <w:iCs/>
                <w:sz w:val="20"/>
                <w:szCs w:val="20"/>
                <w:lang w:eastAsia="ar-SA"/>
              </w:rPr>
              <w:t xml:space="preserve"> maksymalna wysokość świadczenia zaproponowana przez Ubezpieczycieli</w:t>
            </w:r>
          </w:p>
        </w:tc>
        <w:tc>
          <w:tcPr>
            <w:tcW w:w="3415" w:type="dxa"/>
            <w:vMerge/>
            <w:vAlign w:val="center"/>
          </w:tcPr>
          <w:p w:rsidR="0003055E" w:rsidRPr="00FB7A03" w:rsidRDefault="0003055E" w:rsidP="0003055E">
            <w:pPr>
              <w:suppressAutoHyphens/>
              <w:rPr>
                <w:rFonts w:ascii="Tahoma" w:eastAsia="MS Mincho" w:hAnsi="Tahoma" w:cs="Tahoma"/>
                <w:iCs/>
                <w:sz w:val="20"/>
                <w:szCs w:val="20"/>
                <w:lang w:eastAsia="ar-SA"/>
              </w:rPr>
            </w:pPr>
          </w:p>
        </w:tc>
      </w:tr>
    </w:tbl>
    <w:p w:rsidR="0003055E" w:rsidRPr="00FB7A03" w:rsidRDefault="0003055E" w:rsidP="0003055E">
      <w:pPr>
        <w:suppressAutoHyphens/>
        <w:autoSpaceDE w:val="0"/>
        <w:ind w:firstLine="708"/>
        <w:jc w:val="both"/>
        <w:rPr>
          <w:rFonts w:ascii="Tahoma" w:eastAsia="MS Mincho" w:hAnsi="Tahoma" w:cs="Tahoma"/>
          <w:sz w:val="20"/>
          <w:szCs w:val="20"/>
          <w:lang w:eastAsia="ar-SA"/>
        </w:rPr>
      </w:pPr>
    </w:p>
    <w:p w:rsidR="0003055E" w:rsidRPr="00FB7A03" w:rsidRDefault="0003055E" w:rsidP="006D6379">
      <w:pPr>
        <w:widowControl w:val="0"/>
        <w:numPr>
          <w:ilvl w:val="0"/>
          <w:numId w:val="9"/>
        </w:numPr>
        <w:suppressAutoHyphens/>
        <w:autoSpaceDE w:val="0"/>
        <w:ind w:left="993" w:hanging="426"/>
        <w:jc w:val="both"/>
        <w:rPr>
          <w:rFonts w:ascii="Tahoma" w:eastAsia="MS Mincho" w:hAnsi="Tahoma" w:cs="Tahoma"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t xml:space="preserve">Ubezpieczyciel zsumuje liczbę przyznanych punktów dla każdego świadczenia w każdym </w:t>
      </w: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br/>
        <w:t xml:space="preserve">z wariantów. Suma ta stanowić będzie łączną liczbę punktów oferty badanej, przyznanych </w:t>
      </w: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br/>
        <w:t xml:space="preserve">w kryterium „Wysokość świadczeń”. </w:t>
      </w:r>
    </w:p>
    <w:p w:rsidR="0003055E" w:rsidRPr="00FB7A03" w:rsidRDefault="0003055E" w:rsidP="006D6379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MS Mincho" w:hAnsi="Tahoma" w:cs="Tahoma"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t xml:space="preserve">Za ofertę najkorzystniejszą uznana zostanie oferta, która uzyska najwyższą łączną liczbę punktów według wzoru: </w:t>
      </w:r>
    </w:p>
    <w:p w:rsidR="0003055E" w:rsidRPr="00FB7A03" w:rsidRDefault="0003055E" w:rsidP="00FB7A03">
      <w:pPr>
        <w:shd w:val="clear" w:color="auto" w:fill="FFFFFF"/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Tahoma" w:eastAsia="MS Mincho" w:hAnsi="Tahoma" w:cs="Tahoma"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bCs/>
          <w:kern w:val="1"/>
          <w:sz w:val="20"/>
          <w:szCs w:val="20"/>
          <w:lang w:eastAsia="ar-SA"/>
        </w:rPr>
        <w:t>Ocena (O) = WS + C</w:t>
      </w:r>
    </w:p>
    <w:p w:rsidR="0003055E" w:rsidRPr="00FB7A03" w:rsidRDefault="0003055E" w:rsidP="0003055E">
      <w:pPr>
        <w:shd w:val="clear" w:color="auto" w:fill="FFFFFF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eastAsia="MS Mincho" w:hAnsi="Tahoma" w:cs="Tahoma"/>
          <w:bCs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bCs/>
          <w:kern w:val="1"/>
          <w:sz w:val="20"/>
          <w:szCs w:val="20"/>
          <w:lang w:eastAsia="ar-SA"/>
        </w:rPr>
        <w:t>gdzie:</w:t>
      </w:r>
    </w:p>
    <w:p w:rsidR="0003055E" w:rsidRPr="00FB7A03" w:rsidRDefault="0003055E" w:rsidP="00FB7A03">
      <w:pPr>
        <w:shd w:val="clear" w:color="auto" w:fill="FFFFFF"/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Tahoma" w:eastAsia="MS Mincho" w:hAnsi="Tahoma" w:cs="Tahoma"/>
          <w:bCs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bCs/>
          <w:kern w:val="1"/>
          <w:sz w:val="20"/>
          <w:szCs w:val="20"/>
          <w:lang w:eastAsia="ar-SA"/>
        </w:rPr>
        <w:t>O - łączna ocena oferty</w:t>
      </w:r>
    </w:p>
    <w:p w:rsidR="0003055E" w:rsidRPr="00FB7A03" w:rsidRDefault="0003055E" w:rsidP="00FB7A03">
      <w:pPr>
        <w:shd w:val="clear" w:color="auto" w:fill="FFFFFF"/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Tahoma" w:eastAsia="MS Mincho" w:hAnsi="Tahoma" w:cs="Tahoma"/>
          <w:bCs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bCs/>
          <w:kern w:val="1"/>
          <w:sz w:val="20"/>
          <w:szCs w:val="20"/>
          <w:lang w:eastAsia="ar-SA"/>
        </w:rPr>
        <w:t>WS - łączna ocena dla kryterium wysokość świadczeń</w:t>
      </w:r>
    </w:p>
    <w:p w:rsidR="0003055E" w:rsidRPr="00FB7A03" w:rsidRDefault="0003055E" w:rsidP="00FB7A03">
      <w:pPr>
        <w:shd w:val="clear" w:color="auto" w:fill="FFFFFF"/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Tahoma" w:eastAsia="MS Mincho" w:hAnsi="Tahoma" w:cs="Tahoma"/>
          <w:iCs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bCs/>
          <w:kern w:val="1"/>
          <w:sz w:val="20"/>
          <w:szCs w:val="20"/>
          <w:lang w:eastAsia="ar-SA"/>
        </w:rPr>
        <w:t>C</w:t>
      </w:r>
      <w:r w:rsidRPr="00FB7A03">
        <w:rPr>
          <w:rFonts w:ascii="Tahoma" w:eastAsia="MS Mincho" w:hAnsi="Tahoma" w:cs="Tahoma"/>
          <w:bCs/>
          <w:kern w:val="1"/>
          <w:sz w:val="20"/>
          <w:szCs w:val="20"/>
          <w:lang w:eastAsia="ar-SA"/>
        </w:rPr>
        <w:tab/>
        <w:t>- łączna ocena</w:t>
      </w:r>
      <w:r w:rsidRPr="00FB7A03">
        <w:rPr>
          <w:rFonts w:ascii="Tahoma" w:eastAsia="MS Mincho" w:hAnsi="Tahoma" w:cs="Tahoma"/>
          <w:iCs/>
          <w:kern w:val="1"/>
          <w:sz w:val="20"/>
          <w:szCs w:val="20"/>
          <w:lang w:eastAsia="ar-SA"/>
        </w:rPr>
        <w:t xml:space="preserve"> dla kryterium cena</w:t>
      </w:r>
    </w:p>
    <w:p w:rsidR="0003055E" w:rsidRPr="00FB7A03" w:rsidRDefault="0003055E" w:rsidP="006D6379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MS Mincho" w:hAnsi="Tahoma" w:cs="Tahoma"/>
          <w:bCs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t>Jeżeli nie można wybrać najkorzystniejszej oferty z uwagi na to, że dwie lub więcej ofert przedstawia taki sam bilans ceny i innych kryteriów oceny ofert, Ubezpieczający spośród tych ofert wybiera</w:t>
      </w:r>
      <w:r w:rsidRPr="00FB7A03">
        <w:rPr>
          <w:rFonts w:ascii="Tahoma" w:eastAsia="MS Mincho" w:hAnsi="Tahoma" w:cs="Tahoma"/>
          <w:bCs/>
          <w:kern w:val="1"/>
          <w:sz w:val="20"/>
          <w:szCs w:val="20"/>
          <w:lang w:eastAsia="ar-SA"/>
        </w:rPr>
        <w:t xml:space="preserve"> ofertę </w:t>
      </w:r>
      <w:r w:rsidRPr="00FB7A03">
        <w:rPr>
          <w:rFonts w:ascii="Tahoma" w:eastAsia="MS Mincho" w:hAnsi="Tahoma" w:cs="Tahoma"/>
          <w:bCs/>
          <w:kern w:val="1"/>
          <w:sz w:val="20"/>
          <w:szCs w:val="20"/>
          <w:lang w:eastAsia="ar-SA"/>
        </w:rPr>
        <w:br/>
        <w:t>z najniższą ceną, a jeżeli zostały złożone oferty o takiej samej cenie, Ubezpieczający wzywa Ubezpieczycieli, którzy złożyli te oferty, do złożenia w terminie określonym przez Ubezpieczającego ofert dodatkowych. Ubezpieczyciel, składając oferty dodatkowe, nie mogą zaoferować cen wyższych niż zaoferowane w złożonych ofertach.</w:t>
      </w:r>
    </w:p>
    <w:p w:rsidR="0003055E" w:rsidRPr="00FB7A03" w:rsidRDefault="0003055E" w:rsidP="0003055E">
      <w:pPr>
        <w:tabs>
          <w:tab w:val="num" w:pos="709"/>
        </w:tabs>
        <w:suppressAutoHyphens/>
        <w:autoSpaceDE w:val="0"/>
        <w:rPr>
          <w:rFonts w:ascii="Tahoma" w:eastAsia="MS Mincho" w:hAnsi="Tahoma" w:cs="Tahoma"/>
          <w:sz w:val="20"/>
          <w:szCs w:val="20"/>
          <w:lang w:eastAsia="ar-SA"/>
        </w:rPr>
      </w:pPr>
    </w:p>
    <w:p w:rsidR="0003055E" w:rsidRPr="00FB7A03" w:rsidRDefault="0003055E" w:rsidP="0003055E">
      <w:pPr>
        <w:tabs>
          <w:tab w:val="num" w:pos="709"/>
        </w:tabs>
        <w:suppressAutoHyphens/>
        <w:autoSpaceDE w:val="0"/>
        <w:rPr>
          <w:rFonts w:ascii="Tahoma" w:eastAsia="MS Mincho" w:hAnsi="Tahoma" w:cs="Tahoma"/>
          <w:sz w:val="20"/>
          <w:szCs w:val="20"/>
          <w:lang w:eastAsia="ar-SA"/>
        </w:rPr>
      </w:pPr>
    </w:p>
    <w:p w:rsidR="0003055E" w:rsidRPr="00FB7A03" w:rsidRDefault="0003055E" w:rsidP="006D6379">
      <w:pPr>
        <w:numPr>
          <w:ilvl w:val="0"/>
          <w:numId w:val="1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FB7A03">
        <w:rPr>
          <w:rFonts w:ascii="Tahoma" w:hAnsi="Tahoma" w:cs="Tahoma"/>
          <w:b/>
          <w:sz w:val="20"/>
          <w:szCs w:val="20"/>
        </w:rPr>
        <w:t>OPIS SPOSOBU OBLICZANIA CENY:</w:t>
      </w:r>
    </w:p>
    <w:p w:rsidR="0003055E" w:rsidRPr="00FB7A03" w:rsidRDefault="0003055E" w:rsidP="0003055E">
      <w:pPr>
        <w:rPr>
          <w:rFonts w:ascii="Tahoma" w:hAnsi="Tahoma" w:cs="Tahoma"/>
          <w:b/>
          <w:sz w:val="20"/>
          <w:szCs w:val="20"/>
        </w:rPr>
      </w:pPr>
    </w:p>
    <w:p w:rsidR="0003055E" w:rsidRPr="00FB7A03" w:rsidRDefault="0003055E" w:rsidP="006D6379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MS Mincho" w:hAnsi="Tahoma" w:cs="Tahoma"/>
          <w:color w:val="000000"/>
          <w:kern w:val="1"/>
          <w:sz w:val="20"/>
          <w:szCs w:val="20"/>
        </w:rPr>
      </w:pPr>
      <w:r w:rsidRPr="00FB7A03">
        <w:rPr>
          <w:rFonts w:ascii="Tahoma" w:eastAsia="MS Mincho" w:hAnsi="Tahoma" w:cs="Tahoma"/>
          <w:color w:val="000000"/>
          <w:kern w:val="1"/>
          <w:sz w:val="20"/>
          <w:szCs w:val="20"/>
        </w:rPr>
        <w:t xml:space="preserve">Cena oferty, o której mowa w „Formularzu ofertowym” stanowiącym </w:t>
      </w:r>
      <w:r w:rsidRPr="00FB7A03">
        <w:rPr>
          <w:rFonts w:ascii="Tahoma" w:eastAsia="MS Mincho" w:hAnsi="Tahoma" w:cs="Tahoma"/>
          <w:b/>
          <w:bCs/>
          <w:color w:val="000000"/>
          <w:kern w:val="1"/>
          <w:sz w:val="20"/>
          <w:szCs w:val="20"/>
        </w:rPr>
        <w:t>ZAŁĄCZNIK NR 3</w:t>
      </w:r>
      <w:r w:rsidRPr="00FB7A03">
        <w:rPr>
          <w:rFonts w:ascii="Tahoma" w:eastAsia="MS Mincho" w:hAnsi="Tahoma" w:cs="Tahoma"/>
          <w:color w:val="000000"/>
          <w:kern w:val="1"/>
          <w:sz w:val="20"/>
          <w:szCs w:val="20"/>
        </w:rPr>
        <w:t xml:space="preserve"> do SIWZ, musi być obliczona w złotych polskich w następujący sposób: </w:t>
      </w:r>
    </w:p>
    <w:p w:rsidR="0003055E" w:rsidRPr="00FB7A03" w:rsidRDefault="0003055E" w:rsidP="006D637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23"/>
        <w:ind w:left="993" w:hanging="426"/>
        <w:jc w:val="both"/>
        <w:rPr>
          <w:rFonts w:ascii="Tahoma" w:eastAsia="MS Mincho" w:hAnsi="Tahoma" w:cs="Tahoma"/>
          <w:color w:val="000000"/>
          <w:kern w:val="1"/>
          <w:sz w:val="20"/>
          <w:szCs w:val="20"/>
        </w:rPr>
      </w:pPr>
      <w:r w:rsidRPr="00FB7A03">
        <w:rPr>
          <w:rFonts w:ascii="Tahoma" w:eastAsia="MS Mincho" w:hAnsi="Tahoma" w:cs="Tahoma"/>
          <w:color w:val="000000"/>
          <w:kern w:val="1"/>
          <w:sz w:val="20"/>
          <w:szCs w:val="20"/>
        </w:rPr>
        <w:t xml:space="preserve">Ubezpieczyciel określi wysokość składki za jedną osobę / za jeden miesiąc dla każdego z wariantów ubezpieczenia. </w:t>
      </w:r>
    </w:p>
    <w:p w:rsidR="0003055E" w:rsidRPr="00FB7A03" w:rsidRDefault="0003055E" w:rsidP="006D637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23"/>
        <w:ind w:left="993" w:hanging="426"/>
        <w:jc w:val="both"/>
        <w:rPr>
          <w:rFonts w:ascii="Tahoma" w:eastAsia="MS Mincho" w:hAnsi="Tahoma" w:cs="Tahoma"/>
          <w:color w:val="000000"/>
          <w:kern w:val="1"/>
          <w:sz w:val="20"/>
          <w:szCs w:val="20"/>
        </w:rPr>
      </w:pPr>
      <w:r w:rsidRPr="00FB7A03">
        <w:rPr>
          <w:rFonts w:ascii="Tahoma" w:eastAsia="MS Mincho" w:hAnsi="Tahoma" w:cs="Tahoma"/>
          <w:color w:val="000000"/>
          <w:kern w:val="1"/>
          <w:sz w:val="20"/>
          <w:szCs w:val="20"/>
        </w:rPr>
        <w:t xml:space="preserve">Ubezpieczyciel obliczy wartość brutto dla każdego wariantu poprzez przemnożenie wysokości składki za jedną osobę / za jeden miesiąc przez szacunkową ilość osób ubezpieczeniowych </w:t>
      </w:r>
      <w:r w:rsidRPr="00FB7A03">
        <w:rPr>
          <w:rFonts w:ascii="Tahoma" w:eastAsia="MS Mincho" w:hAnsi="Tahoma" w:cs="Tahoma"/>
          <w:color w:val="000000"/>
          <w:kern w:val="1"/>
          <w:sz w:val="20"/>
          <w:szCs w:val="20"/>
        </w:rPr>
        <w:br/>
        <w:t xml:space="preserve">w danym wariancie oraz przez okres obowiązywania ubezpieczenia w miesiącach (przykładowo dla Wariantu I: miesięczna wys. składki/na osobę dla wariantu I x szacunkowa ilość osób ubezpieczonych w Wariancie I x 12 miesięcy). </w:t>
      </w:r>
    </w:p>
    <w:p w:rsidR="0003055E" w:rsidRPr="00FB7A03" w:rsidRDefault="0003055E" w:rsidP="006D637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23"/>
        <w:ind w:left="993" w:hanging="426"/>
        <w:jc w:val="both"/>
        <w:rPr>
          <w:rFonts w:ascii="Tahoma" w:eastAsia="MS Mincho" w:hAnsi="Tahoma" w:cs="Tahoma"/>
          <w:color w:val="000000"/>
          <w:kern w:val="1"/>
          <w:sz w:val="20"/>
          <w:szCs w:val="20"/>
        </w:rPr>
      </w:pPr>
      <w:r w:rsidRPr="00FB7A03">
        <w:rPr>
          <w:rFonts w:ascii="Tahoma" w:eastAsia="MS Mincho" w:hAnsi="Tahoma" w:cs="Tahoma"/>
          <w:color w:val="000000"/>
          <w:kern w:val="1"/>
          <w:sz w:val="20"/>
          <w:szCs w:val="20"/>
        </w:rPr>
        <w:t>Ubezpieczyciel obliczy wartość brutto zamówienia poprzez zsumowanie wartości poszczególnych pozycji. Suma ta stanowić będzie cenę oferty.</w:t>
      </w:r>
      <w:r w:rsidRPr="00FB7A03">
        <w:rPr>
          <w:rFonts w:ascii="Tahoma" w:eastAsia="MS Mincho" w:hAnsi="Tahoma" w:cs="Tahoma"/>
          <w:b/>
          <w:bCs/>
          <w:color w:val="000000"/>
          <w:kern w:val="1"/>
          <w:sz w:val="20"/>
          <w:szCs w:val="20"/>
        </w:rPr>
        <w:t xml:space="preserve"> </w:t>
      </w:r>
    </w:p>
    <w:p w:rsidR="0003055E" w:rsidRPr="00FB7A03" w:rsidRDefault="0003055E" w:rsidP="006D6379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MS Mincho" w:hAnsi="Tahoma" w:cs="Tahoma"/>
          <w:color w:val="000000"/>
          <w:kern w:val="1"/>
          <w:sz w:val="20"/>
          <w:szCs w:val="20"/>
        </w:rPr>
      </w:pPr>
      <w:r w:rsidRPr="00FB7A03">
        <w:rPr>
          <w:rFonts w:ascii="Tahoma" w:eastAsia="MS Mincho" w:hAnsi="Tahoma" w:cs="Tahoma"/>
          <w:color w:val="000000"/>
          <w:kern w:val="1"/>
          <w:sz w:val="20"/>
          <w:szCs w:val="20"/>
        </w:rPr>
        <w:t>Cena podana w ofercie winna uwzględnić wszystkie koszty i składniki związane z wykonaniem przedmiotu zamówienia, w tym wszelkie upusty, op</w:t>
      </w:r>
      <w:r w:rsidRPr="00FB7A03">
        <w:rPr>
          <w:rFonts w:ascii="Tahoma" w:eastAsia="MS Mincho" w:hAnsi="Tahoma" w:cs="Tahoma" w:hint="eastAsia"/>
          <w:color w:val="000000"/>
          <w:kern w:val="1"/>
          <w:sz w:val="20"/>
          <w:szCs w:val="20"/>
        </w:rPr>
        <w:t>ł</w:t>
      </w:r>
      <w:r w:rsidRPr="00FB7A03">
        <w:rPr>
          <w:rFonts w:ascii="Tahoma" w:eastAsia="MS Mincho" w:hAnsi="Tahoma" w:cs="Tahoma"/>
          <w:color w:val="000000"/>
          <w:kern w:val="1"/>
          <w:sz w:val="20"/>
          <w:szCs w:val="20"/>
        </w:rPr>
        <w:t xml:space="preserve">aty, prowizje, wynagrodzenie podwykonawców i innych osób, </w:t>
      </w:r>
      <w:r w:rsidRPr="00FB7A03">
        <w:rPr>
          <w:rFonts w:ascii="Tahoma" w:eastAsia="MS Mincho" w:hAnsi="Tahoma" w:cs="Tahoma"/>
          <w:color w:val="000000"/>
          <w:kern w:val="1"/>
          <w:sz w:val="20"/>
          <w:szCs w:val="20"/>
        </w:rPr>
        <w:br/>
        <w:t>a także podatki i inne zobowiązania Ubezpieczyciela.</w:t>
      </w:r>
    </w:p>
    <w:p w:rsidR="0003055E" w:rsidRPr="00FB7A03" w:rsidRDefault="0003055E" w:rsidP="006D6379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MS Mincho" w:hAnsi="Tahoma" w:cs="Tahoma"/>
          <w:color w:val="000000"/>
          <w:kern w:val="1"/>
          <w:sz w:val="20"/>
          <w:szCs w:val="20"/>
        </w:rPr>
      </w:pPr>
      <w:r w:rsidRPr="00FB7A03">
        <w:rPr>
          <w:rFonts w:ascii="Tahoma" w:eastAsia="MS Mincho" w:hAnsi="Tahoma" w:cs="Tahoma"/>
          <w:color w:val="000000"/>
          <w:kern w:val="1"/>
          <w:sz w:val="20"/>
          <w:szCs w:val="20"/>
        </w:rPr>
        <w:t xml:space="preserve">W ofercie należy podać cenę w złotych polskich (PLN) cyfrowo i słownie.  </w:t>
      </w:r>
    </w:p>
    <w:p w:rsidR="0003055E" w:rsidRPr="00FB7A03" w:rsidRDefault="0003055E" w:rsidP="006D6379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MS Mincho" w:hAnsi="Tahoma" w:cs="Tahoma"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color w:val="000000"/>
          <w:kern w:val="1"/>
          <w:sz w:val="20"/>
          <w:szCs w:val="20"/>
        </w:rPr>
        <w:t>Cenę oferty</w:t>
      </w: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t xml:space="preserve"> należy przedstawić z dokładnością do setnych części złotego.</w:t>
      </w:r>
    </w:p>
    <w:p w:rsidR="0003055E" w:rsidRPr="00FB7A03" w:rsidRDefault="0003055E" w:rsidP="00977D49">
      <w:pPr>
        <w:rPr>
          <w:rFonts w:ascii="Tahoma" w:hAnsi="Tahoma" w:cs="Tahoma"/>
          <w:b/>
          <w:sz w:val="20"/>
          <w:szCs w:val="20"/>
        </w:rPr>
      </w:pPr>
    </w:p>
    <w:p w:rsidR="0003055E" w:rsidRPr="00FB7A03" w:rsidRDefault="0003055E" w:rsidP="00977D49">
      <w:pPr>
        <w:rPr>
          <w:rFonts w:ascii="Tahoma" w:hAnsi="Tahoma" w:cs="Tahoma"/>
          <w:b/>
          <w:sz w:val="20"/>
          <w:szCs w:val="20"/>
        </w:rPr>
      </w:pPr>
    </w:p>
    <w:p w:rsidR="0030212A" w:rsidRPr="00FB7A03" w:rsidRDefault="0030212A" w:rsidP="006D6379">
      <w:pPr>
        <w:pStyle w:val="Akapitzlist"/>
        <w:numPr>
          <w:ilvl w:val="0"/>
          <w:numId w:val="1"/>
        </w:numPr>
        <w:ind w:left="426" w:hanging="426"/>
        <w:rPr>
          <w:rFonts w:ascii="Tahoma" w:hAnsi="Tahoma" w:cs="Tahoma"/>
          <w:b/>
          <w:bCs/>
          <w:sz w:val="20"/>
          <w:szCs w:val="20"/>
        </w:rPr>
      </w:pPr>
      <w:r w:rsidRPr="00FB7A03">
        <w:rPr>
          <w:rFonts w:ascii="Tahoma" w:hAnsi="Tahoma" w:cs="Tahoma"/>
          <w:b/>
          <w:bCs/>
          <w:sz w:val="20"/>
          <w:szCs w:val="20"/>
        </w:rPr>
        <w:t xml:space="preserve">INNE WARUNKI WYKONANIA ZAMÓWIENIA </w:t>
      </w:r>
    </w:p>
    <w:p w:rsidR="0030212A" w:rsidRPr="00FB7A03" w:rsidRDefault="0030212A" w:rsidP="00977D49">
      <w:pPr>
        <w:pStyle w:val="Akapitzlist"/>
        <w:rPr>
          <w:rFonts w:ascii="Tahoma" w:hAnsi="Tahoma" w:cs="Tahoma"/>
          <w:color w:val="FF0000"/>
          <w:sz w:val="20"/>
          <w:szCs w:val="20"/>
        </w:rPr>
      </w:pPr>
    </w:p>
    <w:p w:rsidR="00C22E95" w:rsidRPr="00FB7A03" w:rsidRDefault="00C22E95" w:rsidP="006D6379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ind w:left="426" w:right="2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Ubezpieczający wymaga spełnienia określonych w </w:t>
      </w:r>
      <w:r w:rsidRPr="00FB7A03">
        <w:rPr>
          <w:rFonts w:ascii="Tahoma" w:hAnsi="Tahoma" w:cs="Tahoma"/>
          <w:b/>
          <w:bCs/>
          <w:sz w:val="20"/>
          <w:szCs w:val="20"/>
        </w:rPr>
        <w:t>ZAŁĄCZNIKU NR 2</w:t>
      </w:r>
      <w:r w:rsidRPr="00FB7A03">
        <w:rPr>
          <w:rFonts w:ascii="Tahoma" w:hAnsi="Tahoma" w:cs="Tahoma"/>
          <w:sz w:val="20"/>
          <w:szCs w:val="20"/>
        </w:rPr>
        <w:t xml:space="preserve"> niniejszego załącznika rodzajów i wysokości świadczeń. Podane wysokości świadczeń dla </w:t>
      </w:r>
      <w:bookmarkStart w:id="3" w:name="_Hlk31281129"/>
      <w:r w:rsidRPr="00FB7A03">
        <w:rPr>
          <w:rFonts w:ascii="Tahoma" w:hAnsi="Tahoma" w:cs="Tahoma"/>
          <w:bCs/>
          <w:sz w:val="20"/>
          <w:szCs w:val="20"/>
        </w:rPr>
        <w:t>Wariantu I i Wariantu II</w:t>
      </w:r>
      <w:r w:rsidRPr="00FB7A03">
        <w:rPr>
          <w:rFonts w:ascii="Tahoma" w:hAnsi="Tahoma" w:cs="Tahoma"/>
          <w:sz w:val="20"/>
          <w:szCs w:val="20"/>
        </w:rPr>
        <w:t xml:space="preserve"> </w:t>
      </w:r>
      <w:bookmarkEnd w:id="3"/>
      <w:r w:rsidRPr="00FB7A03">
        <w:rPr>
          <w:rFonts w:ascii="Tahoma" w:hAnsi="Tahoma" w:cs="Tahoma"/>
          <w:sz w:val="20"/>
          <w:szCs w:val="20"/>
        </w:rPr>
        <w:t>są wartościami minimalnymi do wykonania przedmiotu zamówienia przez Ubezpieczyciela.</w:t>
      </w:r>
    </w:p>
    <w:p w:rsidR="00C22E95" w:rsidRPr="00FB7A03" w:rsidRDefault="00C22E95" w:rsidP="006D6379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ind w:left="426" w:right="2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Podane przez Ubezpieczającego wysokości składek ubezpieczeniowych dla jednego Ubezpieczonego </w:t>
      </w:r>
      <w:r w:rsidRPr="00FB7A03">
        <w:rPr>
          <w:rFonts w:ascii="Tahoma" w:hAnsi="Tahoma" w:cs="Tahoma"/>
          <w:sz w:val="20"/>
          <w:szCs w:val="20"/>
        </w:rPr>
        <w:br/>
        <w:t xml:space="preserve">w Wariancie I i Wariancie </w:t>
      </w:r>
      <w:r w:rsidRPr="00FB7A03">
        <w:rPr>
          <w:rFonts w:ascii="Tahoma" w:hAnsi="Tahoma" w:cs="Tahoma"/>
          <w:bCs/>
          <w:sz w:val="20"/>
          <w:szCs w:val="20"/>
        </w:rPr>
        <w:t xml:space="preserve">II </w:t>
      </w:r>
      <w:r w:rsidRPr="00FB7A03">
        <w:rPr>
          <w:rFonts w:ascii="Tahoma" w:hAnsi="Tahoma" w:cs="Tahoma"/>
          <w:sz w:val="20"/>
          <w:szCs w:val="20"/>
        </w:rPr>
        <w:t>są wysokościami maksymalnymi do wykonania przedmiotu zamówienia.</w:t>
      </w:r>
    </w:p>
    <w:p w:rsidR="00C22E95" w:rsidRPr="00FB7A03" w:rsidRDefault="00C22E95" w:rsidP="006D6379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ind w:left="426" w:right="2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Wybrany w wyniku rozstrzygnięcia niniejszego postępowania Ubezpieczyciel na własny koszt zorganizuje realizację wszelkich procedur niezbędnych do zawarcia i obsługi ubezpieczenia, w tym przeszkoli wyznaczonych pracowników Ubezpieczającego w zakresie obsługi administracyjnej.</w:t>
      </w:r>
    </w:p>
    <w:p w:rsidR="00C22E95" w:rsidRPr="00FB7A03" w:rsidRDefault="00C22E95" w:rsidP="006D6379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ind w:left="426" w:right="2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Wykonawca gwarantuje niezmienność warunków ochrony niezależnie od liczby Ubezpieczonych i nie wymaga określenia minimalnej liczby osób przystępujących do poszczególnych Wariantów.</w:t>
      </w:r>
    </w:p>
    <w:p w:rsidR="00C22E95" w:rsidRPr="00FB7A03" w:rsidRDefault="00C22E95" w:rsidP="006D6379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ind w:left="426" w:right="2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Odpowiedzialność Ubezpieczającego względem Ubezpieczonych z tytułu śmierci samobójczej winna być interpretowana przez Ubezpieczyciela z uwzględnieniem treści normy zawartej w art. 833 ustawy z dnia </w:t>
      </w:r>
      <w:r w:rsidRPr="00FB7A03">
        <w:rPr>
          <w:rFonts w:ascii="Tahoma" w:hAnsi="Tahoma" w:cs="Tahoma"/>
          <w:sz w:val="20"/>
          <w:szCs w:val="20"/>
        </w:rPr>
        <w:br/>
        <w:t>23 kwietnia 1964 roku Kodeks cywilny. Tym samym Ubezpieczający wymaga, aby śmierć samobójcza Ubezpieczonego nie zwalniała Ubezpieczyciela z obowiązku wypłaty świadczenia, jeśli nastąpiła po upływie dwóch lat od zawarcia umowy ubezpieczenia, przy czym do dwuletniego okresu zaliczony zostanie również okres uczestnictwa Ubezpieczonego w poprzednich umowach grupowego ubezpieczenia na życie, pod warunkiem zachowania ciągłości ochrony, aż do dnia bezpośredn</w:t>
      </w:r>
      <w:r w:rsidR="00934289" w:rsidRPr="00FB7A03">
        <w:rPr>
          <w:rFonts w:ascii="Tahoma" w:hAnsi="Tahoma" w:cs="Tahoma"/>
          <w:sz w:val="20"/>
          <w:szCs w:val="20"/>
        </w:rPr>
        <w:t xml:space="preserve">io poprzedzającego rozpoczęcie </w:t>
      </w:r>
      <w:r w:rsidRPr="00FB7A03">
        <w:rPr>
          <w:rFonts w:ascii="Tahoma" w:hAnsi="Tahoma" w:cs="Tahoma"/>
          <w:sz w:val="20"/>
          <w:szCs w:val="20"/>
        </w:rPr>
        <w:t>w stosunku do danego Ubezpieczonego ochrony ubezpieczeniowej na podstawie umowy grupowego ubezpieczenia na życie zawartej w wyniku rozstrzygnięcia niniejszego</w:t>
      </w:r>
      <w:r w:rsidR="00934289" w:rsidRPr="00FB7A03">
        <w:rPr>
          <w:rFonts w:ascii="Tahoma" w:hAnsi="Tahoma" w:cs="Tahoma"/>
          <w:sz w:val="20"/>
          <w:szCs w:val="20"/>
        </w:rPr>
        <w:t xml:space="preserve"> postępowania, z zastrzeżeniem, </w:t>
      </w:r>
      <w:r w:rsidRPr="00FB7A03">
        <w:rPr>
          <w:rFonts w:ascii="Tahoma" w:hAnsi="Tahoma" w:cs="Tahoma"/>
          <w:sz w:val="20"/>
          <w:szCs w:val="20"/>
        </w:rPr>
        <w:t>że okres ten nie może być skrócony bardziej niż do 6 miesięcy od początku odpowiedzialności Ubezpieczyciela wobec tego Ubezpieczonego.</w:t>
      </w:r>
    </w:p>
    <w:p w:rsidR="00C22E95" w:rsidRPr="00FB7A03" w:rsidRDefault="00C22E95" w:rsidP="006D6379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ind w:left="426" w:right="22"/>
        <w:jc w:val="both"/>
        <w:textAlignment w:val="baseline"/>
        <w:rPr>
          <w:rFonts w:ascii="Tahoma" w:hAnsi="Tahoma" w:cs="Tahoma"/>
          <w:spacing w:val="-5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Przystąpienie pracownika, </w:t>
      </w:r>
      <w:r w:rsidRPr="00FB7A03">
        <w:rPr>
          <w:rFonts w:ascii="Tahoma" w:hAnsi="Tahoma" w:cs="Tahoma"/>
          <w:spacing w:val="-5"/>
          <w:sz w:val="20"/>
          <w:szCs w:val="20"/>
        </w:rPr>
        <w:t xml:space="preserve">w tym również członków ich rodzin odbywać się będzie wyłącznie na podstawie wypełnionej i podpisanej deklaracji przystąpienia. </w:t>
      </w:r>
    </w:p>
    <w:p w:rsidR="00C22E95" w:rsidRPr="00FB7A03" w:rsidRDefault="00C22E95" w:rsidP="006D6379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ind w:left="426" w:right="22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Pracownik, który przystępuje do umowy ubezpieczenia składa deklarację przystąpienia do ubezpieczenia</w:t>
      </w:r>
      <w:r w:rsidRPr="00FB7A03">
        <w:rPr>
          <w:rFonts w:ascii="Tahoma" w:hAnsi="Tahoma" w:cs="Tahoma"/>
          <w:color w:val="000000"/>
          <w:sz w:val="20"/>
          <w:szCs w:val="20"/>
        </w:rPr>
        <w:t xml:space="preserve">. Gdy do ubezpieczenia przystępuje także małżonek </w:t>
      </w:r>
      <w:r w:rsidR="004C20EA" w:rsidRPr="00FB7A03">
        <w:rPr>
          <w:rFonts w:ascii="Tahoma" w:hAnsi="Tahoma" w:cs="Tahoma"/>
          <w:color w:val="000000"/>
          <w:sz w:val="20"/>
          <w:szCs w:val="20"/>
        </w:rPr>
        <w:t xml:space="preserve">lub </w:t>
      </w:r>
      <w:r w:rsidRPr="00FB7A03">
        <w:rPr>
          <w:rFonts w:ascii="Tahoma" w:hAnsi="Tahoma" w:cs="Tahoma"/>
          <w:color w:val="000000"/>
          <w:sz w:val="20"/>
          <w:szCs w:val="20"/>
        </w:rPr>
        <w:t>pełnoletnie dzieci pracownika</w:t>
      </w:r>
      <w:r w:rsidR="004C20EA" w:rsidRPr="00FB7A03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FB7A03">
        <w:rPr>
          <w:rFonts w:ascii="Tahoma" w:hAnsi="Tahoma" w:cs="Tahoma"/>
          <w:color w:val="000000"/>
          <w:sz w:val="20"/>
          <w:szCs w:val="20"/>
        </w:rPr>
        <w:t xml:space="preserve"> składają również deklarację przystąpienia.</w:t>
      </w:r>
    </w:p>
    <w:p w:rsidR="00C22E95" w:rsidRPr="00FB7A03" w:rsidRDefault="00C22E95" w:rsidP="006D6379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ind w:left="426" w:right="2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Ubezpieczony wyznacza w deklaracji przystąpienia osoby uposażone do wypłaty świadczeń. Ubezpieczony w każdym czasie trwania niniejszej umowy ma prawo do zmiany uposażonych. </w:t>
      </w:r>
    </w:p>
    <w:p w:rsidR="00C22E95" w:rsidRPr="00FB7A03" w:rsidRDefault="00C22E95" w:rsidP="006D6379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ind w:left="426" w:right="2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Ubezpieczyciel zapewni, że wypłata świadczeń nastąpi przelewem na rachunek bankowy wskazany przez Ubezpieczonego lub przekazem pocztowym na adres Ubezpieczonego lub gotówką w kasie banku. </w:t>
      </w:r>
    </w:p>
    <w:p w:rsidR="00C22E95" w:rsidRPr="00FB7A03" w:rsidRDefault="00C22E95" w:rsidP="006D6379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ind w:left="426" w:right="22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Ubezpieczony ma prawo w każdym czasie złożyć rezygnację z ochrony ubezpieczeniowej, składając pisemne</w:t>
      </w:r>
      <w:r w:rsidRPr="00FB7A03">
        <w:rPr>
          <w:rFonts w:ascii="Tahoma" w:hAnsi="Tahoma" w:cs="Tahoma"/>
          <w:color w:val="000000"/>
          <w:sz w:val="20"/>
          <w:szCs w:val="20"/>
        </w:rPr>
        <w:t xml:space="preserve"> oświadczenie Ubezpieczającemu o rezygnacji, które będzie skutkować końcem odpowiedzialności Ubezpieczyciela z upływem ostatniego dnia miesiąca polisy, za jaki przekazano składkę. W przypadku małżonków oraz pełnoletnich dzieci oświadczenie o rezygnacji z ochrony ubezpieczeniowej składa pracownik.</w:t>
      </w:r>
    </w:p>
    <w:p w:rsidR="00C22E95" w:rsidRPr="00FB7A03" w:rsidRDefault="00C22E95" w:rsidP="006D6379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ind w:left="426" w:right="2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Likwidacja szkód i sprawozdawczość w tym zakresie należy do Ubezpieczyciela. Ubezpieczyciel zobowiązuje się do przedstawienia </w:t>
      </w:r>
      <w:r w:rsidR="00FB1AB1" w:rsidRPr="00FB7A03">
        <w:rPr>
          <w:rFonts w:ascii="Tahoma" w:hAnsi="Tahoma" w:cs="Tahoma"/>
          <w:sz w:val="20"/>
          <w:szCs w:val="20"/>
        </w:rPr>
        <w:t xml:space="preserve">Ubezpieczającemu </w:t>
      </w:r>
      <w:r w:rsidRPr="00FB7A03">
        <w:rPr>
          <w:rFonts w:ascii="Tahoma" w:hAnsi="Tahoma" w:cs="Tahoma"/>
          <w:sz w:val="20"/>
          <w:szCs w:val="20"/>
        </w:rPr>
        <w:t xml:space="preserve">do </w:t>
      </w:r>
      <w:r w:rsidR="00FB1AB1" w:rsidRPr="00FB7A03">
        <w:rPr>
          <w:rFonts w:ascii="Tahoma" w:hAnsi="Tahoma" w:cs="Tahoma"/>
          <w:sz w:val="20"/>
          <w:szCs w:val="20"/>
        </w:rPr>
        <w:t>1</w:t>
      </w:r>
      <w:r w:rsidR="00285867" w:rsidRPr="00FB7A03">
        <w:rPr>
          <w:rFonts w:ascii="Tahoma" w:hAnsi="Tahoma" w:cs="Tahoma"/>
          <w:sz w:val="20"/>
          <w:szCs w:val="20"/>
        </w:rPr>
        <w:t>0</w:t>
      </w:r>
      <w:r w:rsidRPr="00FB7A03">
        <w:rPr>
          <w:rFonts w:ascii="Tahoma" w:hAnsi="Tahoma" w:cs="Tahoma"/>
          <w:sz w:val="20"/>
          <w:szCs w:val="20"/>
        </w:rPr>
        <w:t>.0</w:t>
      </w:r>
      <w:r w:rsidR="00285867" w:rsidRPr="00FB7A03">
        <w:rPr>
          <w:rFonts w:ascii="Tahoma" w:hAnsi="Tahoma" w:cs="Tahoma"/>
          <w:sz w:val="20"/>
          <w:szCs w:val="20"/>
        </w:rPr>
        <w:t>6</w:t>
      </w:r>
      <w:r w:rsidRPr="00FB7A03">
        <w:rPr>
          <w:rFonts w:ascii="Tahoma" w:hAnsi="Tahoma" w:cs="Tahoma"/>
          <w:sz w:val="20"/>
          <w:szCs w:val="20"/>
        </w:rPr>
        <w:t>.202</w:t>
      </w:r>
      <w:r w:rsidR="00FB1AB1" w:rsidRPr="00FB7A03">
        <w:rPr>
          <w:rFonts w:ascii="Tahoma" w:hAnsi="Tahoma" w:cs="Tahoma"/>
          <w:sz w:val="20"/>
          <w:szCs w:val="20"/>
        </w:rPr>
        <w:t>1</w:t>
      </w:r>
      <w:r w:rsidRPr="00FB7A03">
        <w:rPr>
          <w:rFonts w:ascii="Tahoma" w:hAnsi="Tahoma" w:cs="Tahoma"/>
          <w:sz w:val="20"/>
          <w:szCs w:val="20"/>
        </w:rPr>
        <w:t>r. raportu szkodowości za okres od początku ochrony ubezpieczeniowej do 31.0</w:t>
      </w:r>
      <w:r w:rsidR="00285867" w:rsidRPr="00FB7A03">
        <w:rPr>
          <w:rFonts w:ascii="Tahoma" w:hAnsi="Tahoma" w:cs="Tahoma"/>
          <w:sz w:val="20"/>
          <w:szCs w:val="20"/>
        </w:rPr>
        <w:t>5</w:t>
      </w:r>
      <w:r w:rsidRPr="00FB7A03">
        <w:rPr>
          <w:rFonts w:ascii="Tahoma" w:hAnsi="Tahoma" w:cs="Tahoma"/>
          <w:sz w:val="20"/>
          <w:szCs w:val="20"/>
        </w:rPr>
        <w:t>.202</w:t>
      </w:r>
      <w:r w:rsidR="00FB1AB1" w:rsidRPr="00FB7A03">
        <w:rPr>
          <w:rFonts w:ascii="Tahoma" w:hAnsi="Tahoma" w:cs="Tahoma"/>
          <w:sz w:val="20"/>
          <w:szCs w:val="20"/>
        </w:rPr>
        <w:t>1</w:t>
      </w:r>
      <w:r w:rsidRPr="00FB7A03">
        <w:rPr>
          <w:rFonts w:ascii="Tahoma" w:hAnsi="Tahoma" w:cs="Tahoma"/>
          <w:sz w:val="20"/>
          <w:szCs w:val="20"/>
        </w:rPr>
        <w:t xml:space="preserve">r., co oznacza, że </w:t>
      </w:r>
      <w:r w:rsidR="00FB1AB1" w:rsidRPr="00FB7A03">
        <w:rPr>
          <w:rFonts w:ascii="Tahoma" w:hAnsi="Tahoma" w:cs="Tahoma"/>
          <w:sz w:val="20"/>
          <w:szCs w:val="20"/>
        </w:rPr>
        <w:t>Ubezpieczyciel</w:t>
      </w:r>
      <w:r w:rsidRPr="00FB7A03">
        <w:rPr>
          <w:rFonts w:ascii="Tahoma" w:hAnsi="Tahoma" w:cs="Tahoma"/>
          <w:sz w:val="20"/>
          <w:szCs w:val="20"/>
        </w:rPr>
        <w:t xml:space="preserve"> przedstawi dane o:</w:t>
      </w:r>
    </w:p>
    <w:p w:rsidR="00C22E95" w:rsidRPr="00FB7A03" w:rsidRDefault="00C22E95" w:rsidP="006D6379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ilości i rodzaju wypłaconych świadczeń,</w:t>
      </w:r>
    </w:p>
    <w:p w:rsidR="00C22E95" w:rsidRPr="00FB7A03" w:rsidRDefault="00C22E95" w:rsidP="006D6379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wysokości wypłaconych świadczeń.</w:t>
      </w:r>
    </w:p>
    <w:p w:rsidR="00C22E95" w:rsidRPr="00FB7A03" w:rsidRDefault="00FB1AB1" w:rsidP="006D6379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ind w:left="426" w:right="2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Ubezpieczyciel</w:t>
      </w:r>
      <w:r w:rsidR="00C22E95" w:rsidRPr="00FB7A03">
        <w:rPr>
          <w:rFonts w:ascii="Tahoma" w:hAnsi="Tahoma" w:cs="Tahoma"/>
          <w:sz w:val="20"/>
          <w:szCs w:val="20"/>
        </w:rPr>
        <w:t xml:space="preserve"> zobowiązany jest do wystawienia i doręczenia </w:t>
      </w:r>
      <w:r w:rsidRPr="00FB7A03">
        <w:rPr>
          <w:rFonts w:ascii="Tahoma" w:hAnsi="Tahoma" w:cs="Tahoma"/>
          <w:sz w:val="20"/>
          <w:szCs w:val="20"/>
        </w:rPr>
        <w:t xml:space="preserve">Ubezpieczającemu </w:t>
      </w:r>
      <w:r w:rsidR="00C22E95" w:rsidRPr="00FB7A03">
        <w:rPr>
          <w:rFonts w:ascii="Tahoma" w:hAnsi="Tahoma" w:cs="Tahoma"/>
          <w:sz w:val="20"/>
          <w:szCs w:val="20"/>
        </w:rPr>
        <w:t>Certyfikatów Ubezpieczenia dla każdego pracownika oraz członka rodziny pracownika, objętego umową grupowego ubezpieczenia na życie, potwierdzających objęcie ochroną ubezpieczeniową pracownika lub członka jego rodziny, nie później niż w terminie 30 dni od rozpoczęcia ochrony ubezpieczeniowej.</w:t>
      </w:r>
    </w:p>
    <w:p w:rsidR="00C22E95" w:rsidRPr="00FB7A03" w:rsidRDefault="00C22E95" w:rsidP="006D6379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ind w:left="426" w:right="2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Dokumenty potwierdzające zawarcie umowy ubezpieczenia (polisy) </w:t>
      </w:r>
      <w:r w:rsidR="00FB1AB1" w:rsidRPr="00FB7A03">
        <w:rPr>
          <w:rFonts w:ascii="Tahoma" w:hAnsi="Tahoma" w:cs="Tahoma"/>
          <w:sz w:val="20"/>
          <w:szCs w:val="20"/>
        </w:rPr>
        <w:t>Ubezpieczyciel</w:t>
      </w:r>
      <w:r w:rsidRPr="00FB7A03">
        <w:rPr>
          <w:rFonts w:ascii="Tahoma" w:hAnsi="Tahoma" w:cs="Tahoma"/>
          <w:sz w:val="20"/>
          <w:szCs w:val="20"/>
        </w:rPr>
        <w:t xml:space="preserve"> zobowiązuje się wystawić i doręczyć </w:t>
      </w:r>
      <w:r w:rsidR="00FB1AB1" w:rsidRPr="00FB7A03">
        <w:rPr>
          <w:rFonts w:ascii="Tahoma" w:hAnsi="Tahoma" w:cs="Tahoma"/>
          <w:sz w:val="20"/>
          <w:szCs w:val="20"/>
        </w:rPr>
        <w:t>Ubezpieczającemu</w:t>
      </w:r>
      <w:r w:rsidRPr="00FB7A03">
        <w:rPr>
          <w:rFonts w:ascii="Tahoma" w:hAnsi="Tahoma" w:cs="Tahoma"/>
          <w:sz w:val="20"/>
          <w:szCs w:val="20"/>
        </w:rPr>
        <w:t xml:space="preserve"> do końca pierwszego miesiąca ochrony ubezpieczeniowej.</w:t>
      </w:r>
    </w:p>
    <w:p w:rsidR="00C22E95" w:rsidRPr="00FB7A03" w:rsidRDefault="00C22E95" w:rsidP="00977D49">
      <w:pPr>
        <w:widowControl w:val="0"/>
        <w:shd w:val="clear" w:color="auto" w:fill="FFFFFF"/>
        <w:autoSpaceDE w:val="0"/>
        <w:autoSpaceDN w:val="0"/>
        <w:adjustRightInd w:val="0"/>
        <w:ind w:left="426" w:right="22"/>
        <w:jc w:val="both"/>
        <w:rPr>
          <w:rFonts w:ascii="Tahoma" w:hAnsi="Tahoma" w:cs="Tahoma"/>
          <w:sz w:val="20"/>
          <w:szCs w:val="20"/>
        </w:rPr>
      </w:pPr>
    </w:p>
    <w:p w:rsidR="00593A41" w:rsidRPr="00FB7A03" w:rsidRDefault="00593A41" w:rsidP="00977D49">
      <w:pPr>
        <w:widowControl w:val="0"/>
        <w:shd w:val="clear" w:color="auto" w:fill="FFFFFF"/>
        <w:autoSpaceDE w:val="0"/>
        <w:autoSpaceDN w:val="0"/>
        <w:adjustRightInd w:val="0"/>
        <w:ind w:left="426" w:right="22"/>
        <w:jc w:val="both"/>
        <w:rPr>
          <w:rFonts w:ascii="Tahoma" w:hAnsi="Tahoma" w:cs="Tahoma"/>
          <w:sz w:val="20"/>
          <w:szCs w:val="20"/>
        </w:rPr>
      </w:pPr>
    </w:p>
    <w:p w:rsidR="0003055E" w:rsidRPr="00FB7A03" w:rsidRDefault="0003055E" w:rsidP="006D6379">
      <w:pPr>
        <w:pStyle w:val="Akapitzlist"/>
        <w:numPr>
          <w:ilvl w:val="0"/>
          <w:numId w:val="1"/>
        </w:numPr>
        <w:ind w:left="426" w:hanging="426"/>
        <w:rPr>
          <w:rFonts w:ascii="Tahoma" w:hAnsi="Tahoma" w:cs="Tahoma"/>
          <w:b/>
          <w:bCs/>
          <w:sz w:val="20"/>
          <w:szCs w:val="20"/>
        </w:rPr>
      </w:pPr>
      <w:r w:rsidRPr="00FB7A03">
        <w:rPr>
          <w:rFonts w:ascii="Tahoma" w:hAnsi="Tahoma" w:cs="Tahoma"/>
          <w:b/>
          <w:bCs/>
          <w:sz w:val="20"/>
          <w:szCs w:val="20"/>
        </w:rPr>
        <w:t>OCHRONA DANYCH OSOBOWYCH</w:t>
      </w:r>
    </w:p>
    <w:p w:rsidR="0003055E" w:rsidRPr="00FB7A03" w:rsidRDefault="0003055E" w:rsidP="0003055E">
      <w:pPr>
        <w:rPr>
          <w:rFonts w:ascii="Tahoma" w:hAnsi="Tahoma" w:cs="Tahoma"/>
          <w:b/>
          <w:bCs/>
          <w:sz w:val="20"/>
          <w:szCs w:val="20"/>
        </w:rPr>
      </w:pPr>
    </w:p>
    <w:p w:rsidR="0003055E" w:rsidRPr="00FB7A03" w:rsidRDefault="0003055E" w:rsidP="0003055E">
      <w:pPr>
        <w:suppressAutoHyphens/>
        <w:jc w:val="both"/>
        <w:rPr>
          <w:rFonts w:ascii="Tahoma" w:eastAsia="MS Mincho" w:hAnsi="Tahoma" w:cs="Tahoma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Zgodnie z art. 13 ust. 1 i 2 rozporządzenia Parlamentu Europejskiego i Rady (UE) 2016/679 z dnia </w:t>
      </w:r>
      <w:r w:rsidRPr="00FB7A03">
        <w:rPr>
          <w:rFonts w:ascii="Tahoma" w:eastAsia="MS Mincho" w:hAnsi="Tahoma" w:cs="Tahoma"/>
          <w:sz w:val="20"/>
          <w:szCs w:val="20"/>
          <w:lang w:eastAsia="ar-SA"/>
        </w:rPr>
        <w:br/>
        <w:t xml:space="preserve">27 kwietnia 2016r. w sprawie ochrony osób fizycznych w związku z przetwarzaniem danych osobowych </w:t>
      </w:r>
      <w:r w:rsidRPr="00FB7A03">
        <w:rPr>
          <w:rFonts w:ascii="Tahoma" w:eastAsia="MS Mincho" w:hAnsi="Tahoma" w:cs="Tahoma"/>
          <w:sz w:val="20"/>
          <w:szCs w:val="20"/>
          <w:lang w:eastAsia="ar-SA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proofErr w:type="spellStart"/>
      <w:r w:rsidR="00795182" w:rsidRPr="00FB7A03">
        <w:rPr>
          <w:rFonts w:ascii="Tahoma" w:eastAsia="MS Mincho" w:hAnsi="Tahoma" w:cs="Tahoma"/>
          <w:sz w:val="20"/>
          <w:szCs w:val="20"/>
          <w:lang w:eastAsia="ar-SA"/>
        </w:rPr>
        <w:t>Ubezpieczajacy</w:t>
      </w:r>
      <w:proofErr w:type="spellEnd"/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 informuje, że: </w:t>
      </w:r>
    </w:p>
    <w:p w:rsidR="0003055E" w:rsidRPr="00FB7A03" w:rsidRDefault="0003055E" w:rsidP="006D6379">
      <w:pPr>
        <w:numPr>
          <w:ilvl w:val="0"/>
          <w:numId w:val="13"/>
        </w:numPr>
        <w:suppressAutoHyphens/>
        <w:ind w:left="284" w:hanging="284"/>
        <w:jc w:val="both"/>
        <w:rPr>
          <w:rFonts w:ascii="Tahoma" w:eastAsia="MS Mincho" w:hAnsi="Tahoma" w:cs="Tahoma"/>
          <w:color w:val="0000FF"/>
          <w:sz w:val="20"/>
          <w:szCs w:val="20"/>
          <w:u w:val="single"/>
          <w:lang w:eastAsia="ar-SA"/>
        </w:rPr>
      </w:pP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Administratorem Pani/Pana danych osobowych jest Filharmonia Śląska im. Henryka Mikołaja Góreckiego </w:t>
      </w:r>
      <w:r w:rsidRPr="00FB7A03">
        <w:rPr>
          <w:rFonts w:ascii="Tahoma" w:eastAsia="MS Mincho" w:hAnsi="Tahoma" w:cs="Tahoma"/>
          <w:sz w:val="20"/>
          <w:szCs w:val="20"/>
          <w:lang w:eastAsia="ar-SA"/>
        </w:rPr>
        <w:br/>
        <w:t xml:space="preserve">w Katowicach z siedzibą przy </w:t>
      </w:r>
      <w:r w:rsidRPr="00FB7A03">
        <w:rPr>
          <w:rFonts w:ascii="Tahoma" w:eastAsia="MS Mincho" w:hAnsi="Tahoma" w:cs="Tahoma"/>
          <w:bCs/>
          <w:sz w:val="20"/>
          <w:szCs w:val="20"/>
          <w:lang w:eastAsia="ar-SA"/>
        </w:rPr>
        <w:t xml:space="preserve">ul. </w:t>
      </w:r>
      <w:r w:rsidRPr="00FB7A03">
        <w:rPr>
          <w:rFonts w:ascii="Tahoma" w:eastAsia="MS Mincho" w:hAnsi="Tahoma" w:cs="Tahoma"/>
          <w:color w:val="000000"/>
          <w:sz w:val="20"/>
          <w:szCs w:val="20"/>
          <w:lang w:eastAsia="ar-SA"/>
        </w:rPr>
        <w:t xml:space="preserve">ul. Sokolska 2, 40-084 Katowice, </w:t>
      </w:r>
      <w:r w:rsidRPr="00FB7A03">
        <w:rPr>
          <w:rFonts w:ascii="Tahoma" w:hAnsi="Tahoma" w:cs="Tahoma"/>
          <w:color w:val="000000"/>
          <w:sz w:val="20"/>
          <w:szCs w:val="20"/>
          <w:lang w:eastAsia="ar-SA"/>
        </w:rPr>
        <w:t>NIP: 634-013-76-69, REGON: 000279338</w:t>
      </w:r>
      <w:r w:rsidRPr="00FB7A03">
        <w:rPr>
          <w:rFonts w:ascii="Tahoma" w:eastAsia="MS Mincho" w:hAnsi="Tahoma" w:cs="Tahoma"/>
          <w:bCs/>
          <w:sz w:val="20"/>
          <w:szCs w:val="20"/>
          <w:lang w:eastAsia="ar-SA"/>
        </w:rPr>
        <w:t>,</w:t>
      </w: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 t</w:t>
      </w:r>
      <w:r w:rsidRPr="00FB7A03">
        <w:rPr>
          <w:rFonts w:ascii="Tahoma" w:hAnsi="Tahoma" w:cs="Tahoma"/>
          <w:color w:val="000000"/>
          <w:sz w:val="20"/>
          <w:szCs w:val="20"/>
          <w:lang w:eastAsia="ar-SA"/>
        </w:rPr>
        <w:t xml:space="preserve">el. </w:t>
      </w: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+48 </w:t>
      </w:r>
      <w:r w:rsidR="004C20EA"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32 351 1719, </w:t>
      </w: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e-mail: </w:t>
      </w:r>
      <w:r w:rsidR="004C20EA" w:rsidRPr="00FB7A03">
        <w:rPr>
          <w:rFonts w:ascii="Tahoma" w:eastAsia="MS Mincho" w:hAnsi="Tahoma" w:cs="Tahoma"/>
          <w:sz w:val="20"/>
          <w:szCs w:val="20"/>
          <w:lang w:eastAsia="ar-SA"/>
        </w:rPr>
        <w:t>s</w:t>
      </w:r>
      <w:r w:rsidR="004C20EA" w:rsidRPr="00FB7A03">
        <w:rPr>
          <w:rFonts w:ascii="Tahoma" w:eastAsia="MS Mincho" w:hAnsi="Tahoma" w:cs="Tahoma"/>
          <w:color w:val="0000FF"/>
          <w:sz w:val="20"/>
          <w:szCs w:val="20"/>
          <w:u w:val="single"/>
          <w:lang w:eastAsia="ar-SA"/>
        </w:rPr>
        <w:t>ekretariat@filharmonia-slaska.eu</w:t>
      </w:r>
    </w:p>
    <w:p w:rsidR="0003055E" w:rsidRPr="00FB7A03" w:rsidRDefault="0003055E" w:rsidP="006D6379">
      <w:pPr>
        <w:numPr>
          <w:ilvl w:val="0"/>
          <w:numId w:val="13"/>
        </w:numPr>
        <w:suppressAutoHyphens/>
        <w:ind w:left="284" w:hanging="284"/>
        <w:jc w:val="both"/>
        <w:rPr>
          <w:rFonts w:ascii="Tahoma" w:eastAsia="MS Mincho" w:hAnsi="Tahoma" w:cs="Tahoma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Inspektorem </w:t>
      </w:r>
      <w:r w:rsidR="00E167E1"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Ochrony </w:t>
      </w:r>
      <w:r w:rsidRPr="00FB7A03">
        <w:rPr>
          <w:rFonts w:ascii="Tahoma" w:eastAsia="MS Mincho" w:hAnsi="Tahoma" w:cs="Tahoma"/>
          <w:sz w:val="20"/>
          <w:szCs w:val="20"/>
          <w:lang w:eastAsia="ar-SA"/>
        </w:rPr>
        <w:t>Danych Osobowych w Filharmonii Śląskiej im. Henryka Mikołaja Góreckiego w Katowicach jest:</w:t>
      </w:r>
      <w:r w:rsidR="00934289"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 </w:t>
      </w:r>
    </w:p>
    <w:p w:rsidR="0003055E" w:rsidRPr="00FB7A03" w:rsidRDefault="0003055E" w:rsidP="0003055E">
      <w:pPr>
        <w:suppressAutoHyphens/>
        <w:ind w:left="284"/>
        <w:jc w:val="both"/>
        <w:rPr>
          <w:rFonts w:ascii="Tahoma" w:eastAsia="MS Mincho" w:hAnsi="Tahoma" w:cs="Tahoma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Pan/Pani </w:t>
      </w:r>
      <w:r w:rsidR="004C20EA" w:rsidRPr="00FB7A03">
        <w:rPr>
          <w:rFonts w:ascii="Tahoma" w:eastAsia="MS Mincho" w:hAnsi="Tahoma" w:cs="Tahoma"/>
          <w:sz w:val="20"/>
          <w:szCs w:val="20"/>
          <w:lang w:eastAsia="ar-SA"/>
        </w:rPr>
        <w:t>Adam Piątek</w:t>
      </w:r>
    </w:p>
    <w:p w:rsidR="0003055E" w:rsidRPr="00FB7A03" w:rsidRDefault="0003055E" w:rsidP="0003055E">
      <w:pPr>
        <w:suppressAutoHyphens/>
        <w:ind w:left="284"/>
        <w:jc w:val="both"/>
        <w:rPr>
          <w:rFonts w:ascii="Tahoma" w:eastAsia="MS Mincho" w:hAnsi="Tahoma" w:cs="Tahoma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tel. +48 </w:t>
      </w:r>
      <w:r w:rsidR="0015112B" w:rsidRPr="00FB7A03">
        <w:rPr>
          <w:rFonts w:ascii="Tahoma" w:eastAsia="MS Mincho" w:hAnsi="Tahoma" w:cs="Tahoma"/>
          <w:sz w:val="20"/>
          <w:szCs w:val="20"/>
          <w:lang w:eastAsia="ar-SA"/>
        </w:rPr>
        <w:t>664 309 439</w:t>
      </w: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  </w:t>
      </w:r>
    </w:p>
    <w:p w:rsidR="0003055E" w:rsidRPr="00FB7A03" w:rsidRDefault="0003055E" w:rsidP="0003055E">
      <w:pPr>
        <w:suppressAutoHyphens/>
        <w:ind w:left="284"/>
        <w:jc w:val="both"/>
        <w:rPr>
          <w:rFonts w:ascii="Tahoma" w:eastAsia="MS Mincho" w:hAnsi="Tahoma" w:cs="Tahoma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e-mail: </w:t>
      </w:r>
      <w:r w:rsidR="00E167E1" w:rsidRPr="00FB7A03">
        <w:rPr>
          <w:rFonts w:ascii="Tahoma" w:eastAsia="MS Mincho" w:hAnsi="Tahoma" w:cs="Tahoma"/>
          <w:sz w:val="20"/>
          <w:szCs w:val="20"/>
          <w:u w:val="single"/>
          <w:lang w:eastAsia="ar-SA"/>
        </w:rPr>
        <w:t>iod</w:t>
      </w:r>
      <w:r w:rsidR="004C20EA" w:rsidRPr="00FB7A03">
        <w:rPr>
          <w:rFonts w:ascii="Tahoma" w:eastAsia="MS Mincho" w:hAnsi="Tahoma" w:cs="Tahoma"/>
          <w:sz w:val="20"/>
          <w:szCs w:val="20"/>
          <w:u w:val="single"/>
          <w:lang w:eastAsia="ar-SA"/>
        </w:rPr>
        <w:t>@filharmonia-slaska.eu</w:t>
      </w: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  </w:t>
      </w:r>
    </w:p>
    <w:p w:rsidR="0003055E" w:rsidRPr="00FB7A03" w:rsidRDefault="0003055E" w:rsidP="006D6379">
      <w:pPr>
        <w:numPr>
          <w:ilvl w:val="0"/>
          <w:numId w:val="13"/>
        </w:numPr>
        <w:suppressAutoHyphens/>
        <w:ind w:left="284" w:hanging="284"/>
        <w:jc w:val="both"/>
        <w:rPr>
          <w:rFonts w:ascii="Tahoma" w:eastAsia="MS Mincho" w:hAnsi="Tahoma" w:cs="Tahoma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Pani/Pana dane osobowe przetwarzane będą na podstawie art. 6 ust. 1 lit. c RODO w celu związanym </w:t>
      </w:r>
      <w:r w:rsidR="00795182" w:rsidRPr="00FB7A03">
        <w:rPr>
          <w:rFonts w:ascii="Tahoma" w:eastAsia="MS Mincho" w:hAnsi="Tahoma" w:cs="Tahoma"/>
          <w:sz w:val="20"/>
          <w:szCs w:val="20"/>
          <w:lang w:eastAsia="ar-SA"/>
        </w:rPr>
        <w:br/>
      </w: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z </w:t>
      </w:r>
      <w:r w:rsidR="00070CF0"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niniejszym </w:t>
      </w: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postępowaniem pod nazwą: </w:t>
      </w:r>
      <w:r w:rsidRPr="00FB7A03">
        <w:rPr>
          <w:rFonts w:ascii="Tahoma" w:eastAsia="MS Mincho" w:hAnsi="Tahoma" w:cs="Tahoma"/>
          <w:b/>
          <w:i/>
          <w:sz w:val="20"/>
          <w:szCs w:val="20"/>
          <w:lang w:eastAsia="ar-SA"/>
        </w:rPr>
        <w:t>„Usługa grupowego ubezpieczenia na życie dla pracowników Filharmonii Śląskiej im. Henryka Mikołaja Góreckiego w Katowicach</w:t>
      </w: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 </w:t>
      </w:r>
      <w:r w:rsidR="004C20EA" w:rsidRPr="00FB7A03">
        <w:rPr>
          <w:rFonts w:ascii="Tahoma" w:eastAsia="MS Mincho" w:hAnsi="Tahoma" w:cs="Tahoma"/>
          <w:b/>
          <w:i/>
          <w:sz w:val="20"/>
          <w:szCs w:val="20"/>
          <w:lang w:eastAsia="ar-SA"/>
        </w:rPr>
        <w:t>o</w:t>
      </w:r>
      <w:r w:rsidRPr="00FB7A03">
        <w:rPr>
          <w:rFonts w:ascii="Tahoma" w:eastAsia="MS Mincho" w:hAnsi="Tahoma" w:cs="Tahoma"/>
          <w:b/>
          <w:i/>
          <w:sz w:val="20"/>
          <w:szCs w:val="20"/>
          <w:lang w:eastAsia="ar-SA"/>
        </w:rPr>
        <w:t>raz członków ich rodzin”</w:t>
      </w: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 </w:t>
      </w:r>
    </w:p>
    <w:p w:rsidR="0003055E" w:rsidRPr="00FB7A03" w:rsidRDefault="0003055E" w:rsidP="006D6379">
      <w:pPr>
        <w:numPr>
          <w:ilvl w:val="0"/>
          <w:numId w:val="13"/>
        </w:numPr>
        <w:suppressAutoHyphens/>
        <w:ind w:left="284" w:hanging="284"/>
        <w:jc w:val="both"/>
        <w:rPr>
          <w:rFonts w:ascii="Tahoma" w:eastAsia="MS Mincho" w:hAnsi="Tahoma" w:cs="Tahoma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sz w:val="20"/>
          <w:szCs w:val="20"/>
          <w:lang w:eastAsia="ar-SA"/>
        </w:rPr>
        <w:t xml:space="preserve">Odbiorcami Pani/Pana danych osobowych będą osoby lub podmioty, którym udostępniona zostanie dokumentacja postępowania;  </w:t>
      </w:r>
    </w:p>
    <w:p w:rsidR="0003055E" w:rsidRPr="00FB7A03" w:rsidRDefault="0003055E" w:rsidP="006D6379">
      <w:pPr>
        <w:numPr>
          <w:ilvl w:val="0"/>
          <w:numId w:val="13"/>
        </w:numPr>
        <w:suppressAutoHyphens/>
        <w:ind w:left="284" w:hanging="284"/>
        <w:jc w:val="both"/>
        <w:rPr>
          <w:rFonts w:ascii="Tahoma" w:eastAsia="MS Mincho" w:hAnsi="Tahoma" w:cs="Tahoma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sz w:val="20"/>
          <w:szCs w:val="20"/>
          <w:lang w:eastAsia="ar-SA"/>
        </w:rPr>
        <w:t>Pani/Pana dane osobowe będą przechowywane przez okres 6 lat od dnia zakończenia postępowania;</w:t>
      </w:r>
    </w:p>
    <w:p w:rsidR="0003055E" w:rsidRPr="00FB7A03" w:rsidRDefault="0003055E" w:rsidP="006D6379">
      <w:pPr>
        <w:numPr>
          <w:ilvl w:val="0"/>
          <w:numId w:val="13"/>
        </w:numPr>
        <w:suppressAutoHyphens/>
        <w:ind w:left="284" w:hanging="284"/>
        <w:jc w:val="both"/>
        <w:rPr>
          <w:rFonts w:ascii="Tahoma" w:eastAsia="MS Mincho" w:hAnsi="Tahoma" w:cs="Tahoma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03055E" w:rsidRPr="00FB7A03" w:rsidRDefault="0003055E" w:rsidP="006D6379">
      <w:pPr>
        <w:numPr>
          <w:ilvl w:val="0"/>
          <w:numId w:val="13"/>
        </w:numPr>
        <w:suppressAutoHyphens/>
        <w:ind w:left="284" w:hanging="284"/>
        <w:jc w:val="both"/>
        <w:rPr>
          <w:rFonts w:ascii="Tahoma" w:eastAsia="MS Mincho" w:hAnsi="Tahoma" w:cs="Tahoma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sz w:val="20"/>
          <w:szCs w:val="20"/>
          <w:lang w:eastAsia="ar-SA"/>
        </w:rPr>
        <w:t>Posiada Pani/Pan:</w:t>
      </w:r>
    </w:p>
    <w:p w:rsidR="0003055E" w:rsidRPr="00FB7A03" w:rsidRDefault="0003055E" w:rsidP="006D6379">
      <w:pPr>
        <w:numPr>
          <w:ilvl w:val="0"/>
          <w:numId w:val="14"/>
        </w:numPr>
        <w:suppressAutoHyphens/>
        <w:autoSpaceDE w:val="0"/>
        <w:autoSpaceDN w:val="0"/>
        <w:ind w:left="709"/>
        <w:jc w:val="both"/>
        <w:rPr>
          <w:rFonts w:ascii="Tahoma" w:eastAsia="MS Mincho" w:hAnsi="Tahoma" w:cs="Tahoma"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t>na podstawie art. 15 RODO prawo dostępu do danych osobowych Pani/Pana dotyczących;</w:t>
      </w:r>
    </w:p>
    <w:p w:rsidR="0003055E" w:rsidRPr="00FB7A03" w:rsidRDefault="0003055E" w:rsidP="006D6379">
      <w:pPr>
        <w:numPr>
          <w:ilvl w:val="0"/>
          <w:numId w:val="14"/>
        </w:numPr>
        <w:suppressAutoHyphens/>
        <w:autoSpaceDE w:val="0"/>
        <w:autoSpaceDN w:val="0"/>
        <w:ind w:left="709"/>
        <w:jc w:val="both"/>
        <w:rPr>
          <w:rFonts w:ascii="Tahoma" w:eastAsia="MS Mincho" w:hAnsi="Tahoma" w:cs="Tahoma"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t>na podstawie art. 16 RODO prawo do sprostowania Pani/Pana danych osobowych*;</w:t>
      </w:r>
    </w:p>
    <w:p w:rsidR="0003055E" w:rsidRPr="00FB7A03" w:rsidRDefault="0003055E" w:rsidP="006D6379">
      <w:pPr>
        <w:numPr>
          <w:ilvl w:val="0"/>
          <w:numId w:val="14"/>
        </w:numPr>
        <w:suppressAutoHyphens/>
        <w:autoSpaceDE w:val="0"/>
        <w:autoSpaceDN w:val="0"/>
        <w:ind w:left="709"/>
        <w:jc w:val="both"/>
        <w:rPr>
          <w:rFonts w:ascii="Tahoma" w:eastAsia="MS Mincho" w:hAnsi="Tahoma" w:cs="Tahoma"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03055E" w:rsidRPr="00FB7A03" w:rsidRDefault="0003055E" w:rsidP="006D6379">
      <w:pPr>
        <w:numPr>
          <w:ilvl w:val="0"/>
          <w:numId w:val="14"/>
        </w:numPr>
        <w:suppressAutoHyphens/>
        <w:autoSpaceDE w:val="0"/>
        <w:autoSpaceDN w:val="0"/>
        <w:ind w:left="709"/>
        <w:jc w:val="both"/>
        <w:rPr>
          <w:rFonts w:ascii="Tahoma" w:eastAsia="MS Mincho" w:hAnsi="Tahoma" w:cs="Tahoma"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03055E" w:rsidRPr="00FB7A03" w:rsidRDefault="0003055E" w:rsidP="006D6379">
      <w:pPr>
        <w:numPr>
          <w:ilvl w:val="0"/>
          <w:numId w:val="13"/>
        </w:numPr>
        <w:suppressAutoHyphens/>
        <w:ind w:left="284" w:hanging="284"/>
        <w:jc w:val="both"/>
        <w:rPr>
          <w:rFonts w:ascii="Tahoma" w:eastAsia="MS Mincho" w:hAnsi="Tahoma" w:cs="Tahoma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sz w:val="20"/>
          <w:szCs w:val="20"/>
          <w:lang w:eastAsia="ar-SA"/>
        </w:rPr>
        <w:t>Nie przysługuje Pani/Panu:</w:t>
      </w:r>
    </w:p>
    <w:p w:rsidR="0003055E" w:rsidRPr="00FB7A03" w:rsidRDefault="0003055E" w:rsidP="006D6379">
      <w:pPr>
        <w:numPr>
          <w:ilvl w:val="0"/>
          <w:numId w:val="14"/>
        </w:numPr>
        <w:suppressAutoHyphens/>
        <w:autoSpaceDE w:val="0"/>
        <w:autoSpaceDN w:val="0"/>
        <w:ind w:left="709"/>
        <w:jc w:val="both"/>
        <w:rPr>
          <w:rFonts w:ascii="Tahoma" w:eastAsia="MS Mincho" w:hAnsi="Tahoma" w:cs="Tahoma"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t>w związku z art. 17 ust. 3 lit. b, d lub e RODO prawo do usunięcia danych osobowych przed upływem 6 lat od dnia zakończenia postępowania o udzielenie zamówienia;</w:t>
      </w:r>
    </w:p>
    <w:p w:rsidR="0003055E" w:rsidRPr="00FB7A03" w:rsidRDefault="0003055E" w:rsidP="006D6379">
      <w:pPr>
        <w:numPr>
          <w:ilvl w:val="0"/>
          <w:numId w:val="14"/>
        </w:numPr>
        <w:suppressAutoHyphens/>
        <w:autoSpaceDE w:val="0"/>
        <w:autoSpaceDN w:val="0"/>
        <w:ind w:left="709"/>
        <w:jc w:val="both"/>
        <w:rPr>
          <w:rFonts w:ascii="Tahoma" w:eastAsia="MS Mincho" w:hAnsi="Tahoma" w:cs="Tahoma"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t>prawo do przenoszenia danych osobowych, o którym mowa w art. 20 RODO;</w:t>
      </w:r>
    </w:p>
    <w:p w:rsidR="0003055E" w:rsidRPr="00FB7A03" w:rsidRDefault="0003055E" w:rsidP="006D6379">
      <w:pPr>
        <w:numPr>
          <w:ilvl w:val="0"/>
          <w:numId w:val="14"/>
        </w:numPr>
        <w:suppressAutoHyphens/>
        <w:autoSpaceDE w:val="0"/>
        <w:autoSpaceDN w:val="0"/>
        <w:ind w:left="709"/>
        <w:jc w:val="both"/>
        <w:rPr>
          <w:rFonts w:ascii="Tahoma" w:eastAsia="MS Mincho" w:hAnsi="Tahoma" w:cs="Tahoma"/>
          <w:kern w:val="1"/>
          <w:sz w:val="20"/>
          <w:szCs w:val="20"/>
          <w:lang w:eastAsia="ar-SA"/>
        </w:rPr>
      </w:pPr>
      <w:r w:rsidRPr="00FB7A03">
        <w:rPr>
          <w:rFonts w:ascii="Tahoma" w:eastAsia="MS Mincho" w:hAnsi="Tahoma" w:cs="Tahoma"/>
          <w:kern w:val="1"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RODO.</w:t>
      </w:r>
    </w:p>
    <w:p w:rsidR="0003055E" w:rsidRPr="00FB7A03" w:rsidRDefault="0003055E" w:rsidP="0003055E">
      <w:pPr>
        <w:suppressAutoHyphens/>
        <w:ind w:left="567"/>
        <w:jc w:val="both"/>
        <w:rPr>
          <w:rFonts w:ascii="Tahoma" w:eastAsia="MS Mincho" w:hAnsi="Tahoma" w:cs="Tahoma"/>
          <w:sz w:val="20"/>
          <w:szCs w:val="20"/>
          <w:lang w:eastAsia="ar-SA"/>
        </w:rPr>
      </w:pPr>
    </w:p>
    <w:p w:rsidR="0003055E" w:rsidRPr="00FB7A03" w:rsidRDefault="0003055E" w:rsidP="0003055E">
      <w:pPr>
        <w:tabs>
          <w:tab w:val="left" w:pos="993"/>
        </w:tabs>
        <w:suppressAutoHyphens/>
        <w:jc w:val="both"/>
        <w:rPr>
          <w:rFonts w:eastAsia="MS Mincho"/>
          <w:i/>
          <w:iCs/>
          <w:sz w:val="20"/>
          <w:szCs w:val="20"/>
          <w:lang w:eastAsia="ar-SA"/>
        </w:rPr>
      </w:pPr>
      <w:r w:rsidRPr="00FB7A03">
        <w:rPr>
          <w:rFonts w:eastAsia="MS Mincho"/>
          <w:i/>
          <w:iCs/>
          <w:sz w:val="20"/>
          <w:szCs w:val="20"/>
          <w:lang w:eastAsia="ar-SA"/>
        </w:rPr>
        <w:t>*Wyjaśnienie: skorzystanie z prawa do sprostowania nie może skutkować zmiana wyniku postępowania o udzielenie zamówienia publicznego ani zmianą postanowień umowy w zakresie niezgodnym z ustawa Pzp oraz nie może naruszać integralności protokołu oraz jego załączników.</w:t>
      </w:r>
    </w:p>
    <w:p w:rsidR="0003055E" w:rsidRPr="00FB7A03" w:rsidRDefault="0003055E" w:rsidP="0003055E">
      <w:pPr>
        <w:tabs>
          <w:tab w:val="left" w:pos="993"/>
        </w:tabs>
        <w:suppressAutoHyphens/>
        <w:jc w:val="both"/>
        <w:rPr>
          <w:rFonts w:eastAsia="MS Mincho"/>
          <w:i/>
          <w:iCs/>
          <w:sz w:val="20"/>
          <w:szCs w:val="20"/>
          <w:lang w:eastAsia="ar-SA"/>
        </w:rPr>
      </w:pPr>
    </w:p>
    <w:p w:rsidR="0003055E" w:rsidRPr="00FB7A03" w:rsidRDefault="0003055E" w:rsidP="0003055E">
      <w:pPr>
        <w:tabs>
          <w:tab w:val="left" w:pos="993"/>
        </w:tabs>
        <w:suppressAutoHyphens/>
        <w:jc w:val="both"/>
        <w:rPr>
          <w:rFonts w:eastAsia="MS Mincho"/>
          <w:i/>
          <w:iCs/>
          <w:sz w:val="20"/>
          <w:szCs w:val="20"/>
          <w:lang w:eastAsia="ar-SA"/>
        </w:rPr>
      </w:pPr>
      <w:r w:rsidRPr="00FB7A03">
        <w:rPr>
          <w:rFonts w:eastAsia="MS Mincho"/>
          <w:i/>
          <w:iCs/>
          <w:sz w:val="20"/>
          <w:szCs w:val="20"/>
          <w:lang w:eastAsia="ar-SA"/>
        </w:rPr>
        <w:t xml:space="preserve">**Wyjaśnienie: prawo do ograniczenia przetwarzania nie ma zastosowania w odniesieniu do przechowywania, </w:t>
      </w:r>
      <w:r w:rsidRPr="00FB7A03">
        <w:rPr>
          <w:rFonts w:eastAsia="MS Mincho"/>
          <w:i/>
          <w:iCs/>
          <w:sz w:val="20"/>
          <w:szCs w:val="20"/>
          <w:lang w:eastAsia="ar-SA"/>
        </w:rPr>
        <w:br/>
        <w:t xml:space="preserve">w celu zapewnienia korzystania ze środków ochrony prawnej lub w celu ochrony prawnej innej osoby fizycznej lub prawnej, lub z uwagi na ważne względy interesu publicznego Unii Europejskiej lub państwa członkowskiego. </w:t>
      </w:r>
    </w:p>
    <w:p w:rsidR="0003055E" w:rsidRPr="00FB7A03" w:rsidRDefault="0003055E" w:rsidP="0003055E">
      <w:pPr>
        <w:tabs>
          <w:tab w:val="left" w:pos="4170"/>
        </w:tabs>
        <w:suppressAutoHyphens/>
        <w:ind w:left="567" w:hanging="567"/>
        <w:jc w:val="both"/>
        <w:rPr>
          <w:rFonts w:ascii="Tahoma" w:eastAsia="MS Mincho" w:hAnsi="Tahoma" w:cs="Tahoma"/>
          <w:color w:val="FF0000"/>
          <w:sz w:val="20"/>
          <w:szCs w:val="20"/>
          <w:lang w:eastAsia="ar-SA"/>
        </w:rPr>
      </w:pPr>
    </w:p>
    <w:p w:rsidR="0003055E" w:rsidRPr="00FB7A03" w:rsidRDefault="0003055E" w:rsidP="0003055E">
      <w:pPr>
        <w:rPr>
          <w:rFonts w:ascii="Tahoma" w:hAnsi="Tahoma" w:cs="Tahoma"/>
          <w:b/>
          <w:bCs/>
          <w:sz w:val="20"/>
          <w:szCs w:val="20"/>
        </w:rPr>
      </w:pPr>
    </w:p>
    <w:p w:rsidR="0030212A" w:rsidRPr="00FB7A03" w:rsidRDefault="0030212A" w:rsidP="006D6379">
      <w:pPr>
        <w:pStyle w:val="Akapitzlist"/>
        <w:numPr>
          <w:ilvl w:val="0"/>
          <w:numId w:val="1"/>
        </w:numPr>
        <w:ind w:left="426" w:hanging="426"/>
        <w:rPr>
          <w:rFonts w:ascii="Tahoma" w:hAnsi="Tahoma" w:cs="Tahoma"/>
          <w:b/>
          <w:bCs/>
          <w:sz w:val="20"/>
          <w:szCs w:val="20"/>
        </w:rPr>
      </w:pPr>
      <w:r w:rsidRPr="00FB7A03">
        <w:rPr>
          <w:rFonts w:ascii="Tahoma" w:hAnsi="Tahoma" w:cs="Tahoma"/>
          <w:b/>
          <w:bCs/>
          <w:sz w:val="20"/>
          <w:szCs w:val="20"/>
        </w:rPr>
        <w:t>KONTAKT W SPRAWIE PRZEDMIOTU ZAMÓWIENIA:</w:t>
      </w:r>
    </w:p>
    <w:p w:rsidR="0030212A" w:rsidRPr="00FB7A03" w:rsidRDefault="0030212A" w:rsidP="00977D49">
      <w:pPr>
        <w:rPr>
          <w:rFonts w:ascii="Tahoma" w:hAnsi="Tahoma" w:cs="Tahoma"/>
          <w:color w:val="FF0000"/>
          <w:sz w:val="20"/>
          <w:szCs w:val="20"/>
        </w:rPr>
      </w:pPr>
    </w:p>
    <w:p w:rsidR="0030212A" w:rsidRPr="00FB7A03" w:rsidRDefault="0030212A" w:rsidP="00977D49">
      <w:pPr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Wszelki</w:t>
      </w:r>
      <w:r w:rsidR="008427DB" w:rsidRPr="00FB7A03">
        <w:rPr>
          <w:rFonts w:ascii="Tahoma" w:hAnsi="Tahoma" w:cs="Tahoma"/>
          <w:sz w:val="20"/>
          <w:szCs w:val="20"/>
        </w:rPr>
        <w:t>ch</w:t>
      </w:r>
      <w:r w:rsidRPr="00FB7A03">
        <w:rPr>
          <w:rFonts w:ascii="Tahoma" w:hAnsi="Tahoma" w:cs="Tahoma"/>
          <w:sz w:val="20"/>
          <w:szCs w:val="20"/>
        </w:rPr>
        <w:t xml:space="preserve"> informacji dotyczących przedmiotu zamówienia udziela</w:t>
      </w:r>
      <w:r w:rsidR="00977D49" w:rsidRPr="00FB7A03">
        <w:rPr>
          <w:rFonts w:ascii="Tahoma" w:hAnsi="Tahoma" w:cs="Tahoma"/>
          <w:sz w:val="20"/>
          <w:szCs w:val="20"/>
        </w:rPr>
        <w:t>:</w:t>
      </w:r>
    </w:p>
    <w:p w:rsidR="0030212A" w:rsidRPr="00FB7A03" w:rsidRDefault="00977D49" w:rsidP="00977D49">
      <w:pPr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Pani Joanna Masarczyk-Bełz e-mail </w:t>
      </w:r>
      <w:hyperlink r:id="rId10" w:history="1">
        <w:r w:rsidRPr="00FB7A03">
          <w:rPr>
            <w:rStyle w:val="Hipercze"/>
            <w:rFonts w:ascii="Tahoma" w:hAnsi="Tahoma" w:cs="Tahoma"/>
            <w:sz w:val="20"/>
            <w:szCs w:val="20"/>
          </w:rPr>
          <w:t>j.masarczyk@filharmonia-slaska.eu</w:t>
        </w:r>
      </w:hyperlink>
    </w:p>
    <w:p w:rsidR="00593A41" w:rsidRPr="00FB7A03" w:rsidRDefault="00977D49" w:rsidP="00977D49">
      <w:pPr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Pani Anna Hajduk, Broker ubezpieczeniowy e-mail </w:t>
      </w:r>
      <w:hyperlink r:id="rId11" w:history="1">
        <w:r w:rsidRPr="00FB7A03">
          <w:rPr>
            <w:rStyle w:val="Hipercze"/>
            <w:rFonts w:ascii="Tahoma" w:hAnsi="Tahoma" w:cs="Tahoma"/>
            <w:sz w:val="20"/>
            <w:szCs w:val="20"/>
          </w:rPr>
          <w:t>ahajduk@equinum.pl</w:t>
        </w:r>
      </w:hyperlink>
    </w:p>
    <w:p w:rsidR="00977D49" w:rsidRPr="00FB7A03" w:rsidRDefault="00977D49" w:rsidP="00977D49">
      <w:pPr>
        <w:pStyle w:val="Akapitzlist"/>
        <w:rPr>
          <w:rFonts w:ascii="Tahoma" w:hAnsi="Tahoma" w:cs="Tahoma"/>
          <w:color w:val="FF0000"/>
          <w:sz w:val="20"/>
          <w:szCs w:val="20"/>
        </w:rPr>
      </w:pPr>
    </w:p>
    <w:p w:rsidR="00A718E7" w:rsidRPr="00FB7A03" w:rsidRDefault="00A718E7" w:rsidP="00977D49">
      <w:pPr>
        <w:pStyle w:val="Akapitzlist"/>
        <w:rPr>
          <w:rFonts w:ascii="Tahoma" w:hAnsi="Tahoma" w:cs="Tahoma"/>
          <w:color w:val="FF0000"/>
          <w:sz w:val="20"/>
          <w:szCs w:val="20"/>
        </w:rPr>
      </w:pPr>
    </w:p>
    <w:p w:rsidR="0030212A" w:rsidRPr="00FB7A03" w:rsidRDefault="0030212A" w:rsidP="006D6379">
      <w:pPr>
        <w:pStyle w:val="Akapitzlist"/>
        <w:numPr>
          <w:ilvl w:val="0"/>
          <w:numId w:val="1"/>
        </w:numPr>
        <w:ind w:left="567" w:hanging="567"/>
        <w:jc w:val="left"/>
        <w:rPr>
          <w:rFonts w:ascii="Tahoma" w:hAnsi="Tahoma" w:cs="Tahoma"/>
          <w:b/>
          <w:bCs/>
          <w:sz w:val="20"/>
          <w:szCs w:val="20"/>
        </w:rPr>
      </w:pPr>
      <w:r w:rsidRPr="00FB7A03">
        <w:rPr>
          <w:rFonts w:ascii="Tahoma" w:hAnsi="Tahoma" w:cs="Tahoma"/>
          <w:b/>
          <w:bCs/>
          <w:sz w:val="20"/>
          <w:szCs w:val="20"/>
        </w:rPr>
        <w:t>MIEJSCE I TERMIN ZŁOŻENIA OFERTY:</w:t>
      </w:r>
    </w:p>
    <w:p w:rsidR="0030212A" w:rsidRPr="00FB7A03" w:rsidRDefault="0030212A" w:rsidP="00977D49">
      <w:pPr>
        <w:rPr>
          <w:rFonts w:ascii="Tahoma" w:hAnsi="Tahoma" w:cs="Tahoma"/>
          <w:sz w:val="20"/>
          <w:szCs w:val="20"/>
        </w:rPr>
      </w:pPr>
    </w:p>
    <w:p w:rsidR="007C1BED" w:rsidRPr="00FB7A03" w:rsidRDefault="0030212A" w:rsidP="00977D49">
      <w:pPr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 xml:space="preserve">Oferta powinna być przesłana za pośrednictwem poczty elektronicznej na adres </w:t>
      </w:r>
      <w:hyperlink r:id="rId12" w:history="1">
        <w:r w:rsidR="00977D49" w:rsidRPr="00FB7A03">
          <w:rPr>
            <w:rStyle w:val="Hipercze"/>
            <w:rFonts w:ascii="Tahoma" w:hAnsi="Tahoma" w:cs="Tahoma"/>
            <w:sz w:val="20"/>
            <w:szCs w:val="20"/>
          </w:rPr>
          <w:t>ahajduk@equinum.pl</w:t>
        </w:r>
      </w:hyperlink>
      <w:r w:rsidR="00977D49" w:rsidRPr="00FB7A03">
        <w:rPr>
          <w:rFonts w:ascii="Tahoma" w:hAnsi="Tahoma" w:cs="Tahoma"/>
          <w:sz w:val="20"/>
          <w:szCs w:val="20"/>
        </w:rPr>
        <w:t xml:space="preserve"> </w:t>
      </w:r>
      <w:r w:rsidRPr="00FB7A03">
        <w:rPr>
          <w:rFonts w:ascii="Tahoma" w:hAnsi="Tahoma" w:cs="Tahoma"/>
          <w:sz w:val="20"/>
          <w:szCs w:val="20"/>
        </w:rPr>
        <w:t xml:space="preserve">do dnia </w:t>
      </w:r>
      <w:r w:rsidR="00652A73" w:rsidRPr="00FB7A03">
        <w:rPr>
          <w:rFonts w:ascii="Tahoma" w:hAnsi="Tahoma" w:cs="Tahoma"/>
          <w:sz w:val="20"/>
          <w:szCs w:val="20"/>
        </w:rPr>
        <w:t>01.10</w:t>
      </w:r>
      <w:r w:rsidR="00285867" w:rsidRPr="00FB7A03">
        <w:rPr>
          <w:rFonts w:ascii="Tahoma" w:hAnsi="Tahoma" w:cs="Tahoma"/>
          <w:sz w:val="20"/>
          <w:szCs w:val="20"/>
        </w:rPr>
        <w:t>.2020r. do godziny 16:00.</w:t>
      </w:r>
    </w:p>
    <w:p w:rsidR="007C1BED" w:rsidRPr="00FB7A03" w:rsidRDefault="007C1BED" w:rsidP="00977D49">
      <w:pPr>
        <w:jc w:val="center"/>
        <w:rPr>
          <w:rFonts w:ascii="Tahoma" w:hAnsi="Tahoma" w:cs="Tahoma"/>
          <w:bCs/>
          <w:iCs/>
          <w:sz w:val="20"/>
          <w:szCs w:val="20"/>
        </w:rPr>
      </w:pPr>
    </w:p>
    <w:p w:rsidR="007C1BED" w:rsidRPr="00FB7A03" w:rsidRDefault="007C1BED" w:rsidP="00977D49">
      <w:pPr>
        <w:jc w:val="center"/>
        <w:rPr>
          <w:rFonts w:ascii="Tahoma" w:hAnsi="Tahoma" w:cs="Tahoma"/>
          <w:bCs/>
          <w:iCs/>
          <w:sz w:val="20"/>
          <w:szCs w:val="20"/>
        </w:rPr>
      </w:pPr>
      <w:r w:rsidRPr="00FB7A03">
        <w:rPr>
          <w:rFonts w:ascii="Tahoma" w:hAnsi="Tahoma" w:cs="Tahoma"/>
          <w:bCs/>
          <w:iCs/>
          <w:sz w:val="20"/>
          <w:szCs w:val="20"/>
        </w:rPr>
        <w:t>*</w:t>
      </w:r>
      <w:r w:rsidR="00CC10AA" w:rsidRPr="00FB7A03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B7A03">
        <w:rPr>
          <w:rFonts w:ascii="Tahoma" w:hAnsi="Tahoma" w:cs="Tahoma"/>
          <w:bCs/>
          <w:iCs/>
          <w:sz w:val="20"/>
          <w:szCs w:val="20"/>
        </w:rPr>
        <w:t>*</w:t>
      </w:r>
      <w:r w:rsidR="00CC10AA" w:rsidRPr="00FB7A03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B7A03">
        <w:rPr>
          <w:rFonts w:ascii="Tahoma" w:hAnsi="Tahoma" w:cs="Tahoma"/>
          <w:bCs/>
          <w:iCs/>
          <w:sz w:val="20"/>
          <w:szCs w:val="20"/>
        </w:rPr>
        <w:t>*</w:t>
      </w:r>
    </w:p>
    <w:p w:rsidR="007C1BED" w:rsidRPr="00FB7A03" w:rsidRDefault="007C1BED" w:rsidP="00977D49">
      <w:pPr>
        <w:jc w:val="center"/>
        <w:rPr>
          <w:rFonts w:ascii="Tahoma" w:hAnsi="Tahoma" w:cs="Tahoma"/>
          <w:bCs/>
          <w:iCs/>
          <w:sz w:val="20"/>
          <w:szCs w:val="20"/>
        </w:rPr>
      </w:pPr>
    </w:p>
    <w:p w:rsidR="007C1BED" w:rsidRPr="00FB7A03" w:rsidRDefault="007C1BED" w:rsidP="00977D49">
      <w:pPr>
        <w:jc w:val="both"/>
        <w:rPr>
          <w:rFonts w:ascii="Tahoma" w:hAnsi="Tahoma" w:cs="Tahoma"/>
          <w:i/>
          <w:sz w:val="20"/>
          <w:szCs w:val="20"/>
        </w:rPr>
      </w:pPr>
      <w:r w:rsidRPr="00FB7A03">
        <w:rPr>
          <w:rFonts w:ascii="Tahoma" w:hAnsi="Tahoma" w:cs="Tahoma"/>
          <w:i/>
          <w:sz w:val="20"/>
          <w:szCs w:val="20"/>
        </w:rPr>
        <w:t xml:space="preserve">Wszelkie informacje i dane dotyczące Klienta zawarte w zapytaniu nie podlegają dalszemu przetwarzaniu </w:t>
      </w:r>
      <w:r w:rsidR="00472DDF" w:rsidRPr="00FB7A03">
        <w:rPr>
          <w:rFonts w:ascii="Tahoma" w:hAnsi="Tahoma" w:cs="Tahoma"/>
          <w:i/>
          <w:sz w:val="20"/>
          <w:szCs w:val="20"/>
        </w:rPr>
        <w:br/>
      </w:r>
      <w:r w:rsidRPr="00FB7A03">
        <w:rPr>
          <w:rFonts w:ascii="Tahoma" w:hAnsi="Tahoma" w:cs="Tahoma"/>
          <w:i/>
          <w:sz w:val="20"/>
          <w:szCs w:val="20"/>
        </w:rPr>
        <w:t>bez wiedzy i zgody EQUINUM Broker Sp. z o.o., zgodnie z Ustawą o ochronie danych osobowych z dnia 29.08.1997r. (Dz. U. nr 133 poz. 883).</w:t>
      </w:r>
    </w:p>
    <w:p w:rsidR="007C1BED" w:rsidRPr="00FB7A03" w:rsidRDefault="007C1BED" w:rsidP="00977D49">
      <w:pPr>
        <w:tabs>
          <w:tab w:val="left" w:pos="1140"/>
        </w:tabs>
        <w:jc w:val="both"/>
        <w:rPr>
          <w:rFonts w:ascii="Tahoma" w:hAnsi="Tahoma" w:cs="Tahoma"/>
          <w:sz w:val="20"/>
          <w:szCs w:val="20"/>
        </w:rPr>
      </w:pPr>
    </w:p>
    <w:p w:rsidR="007C1BED" w:rsidRPr="00FB7A03" w:rsidRDefault="007C1BED" w:rsidP="00977D49">
      <w:pPr>
        <w:jc w:val="both"/>
        <w:rPr>
          <w:rFonts w:ascii="Tahoma" w:hAnsi="Tahoma" w:cs="Tahoma"/>
          <w:sz w:val="20"/>
          <w:szCs w:val="20"/>
        </w:rPr>
      </w:pPr>
    </w:p>
    <w:p w:rsidR="007C1BED" w:rsidRPr="00FB7A03" w:rsidRDefault="007C1BED" w:rsidP="00977D49">
      <w:pPr>
        <w:jc w:val="both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Z poważaniem,</w:t>
      </w:r>
    </w:p>
    <w:p w:rsidR="007C1BED" w:rsidRPr="00FB7A03" w:rsidRDefault="007C1BED" w:rsidP="00977D49">
      <w:pPr>
        <w:jc w:val="both"/>
        <w:rPr>
          <w:rFonts w:ascii="Tahoma" w:hAnsi="Tahoma" w:cs="Tahoma"/>
          <w:sz w:val="20"/>
          <w:szCs w:val="20"/>
        </w:rPr>
      </w:pPr>
    </w:p>
    <w:p w:rsidR="00CC10AA" w:rsidRPr="00FB7A03" w:rsidRDefault="00CC10AA" w:rsidP="00977D49">
      <w:pPr>
        <w:jc w:val="both"/>
        <w:rPr>
          <w:rFonts w:ascii="Tahoma" w:hAnsi="Tahoma" w:cs="Tahoma"/>
          <w:sz w:val="20"/>
          <w:szCs w:val="20"/>
        </w:rPr>
      </w:pPr>
    </w:p>
    <w:p w:rsidR="007C1BED" w:rsidRPr="00FB7A03" w:rsidRDefault="0030212A" w:rsidP="00977D49">
      <w:pPr>
        <w:tabs>
          <w:tab w:val="left" w:pos="5040"/>
        </w:tabs>
        <w:jc w:val="both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Anna Hajduk</w:t>
      </w:r>
      <w:r w:rsidR="007C1BED" w:rsidRPr="00FB7A03">
        <w:rPr>
          <w:rFonts w:ascii="Tahoma" w:hAnsi="Tahoma" w:cs="Tahoma"/>
          <w:sz w:val="20"/>
          <w:szCs w:val="20"/>
        </w:rPr>
        <w:tab/>
      </w:r>
    </w:p>
    <w:p w:rsidR="007C1BED" w:rsidRPr="00A3448F" w:rsidRDefault="007C1BED" w:rsidP="00977D49">
      <w:pPr>
        <w:jc w:val="both"/>
        <w:rPr>
          <w:rFonts w:ascii="Tahoma" w:hAnsi="Tahoma" w:cs="Tahoma"/>
          <w:sz w:val="20"/>
          <w:szCs w:val="20"/>
        </w:rPr>
      </w:pPr>
      <w:r w:rsidRPr="00FB7A03">
        <w:rPr>
          <w:rFonts w:ascii="Tahoma" w:hAnsi="Tahoma" w:cs="Tahoma"/>
          <w:sz w:val="20"/>
          <w:szCs w:val="20"/>
        </w:rPr>
        <w:t>Broker Ubezpieczeniowy</w:t>
      </w:r>
      <w:r w:rsidRPr="00A3448F">
        <w:rPr>
          <w:rFonts w:ascii="Tahoma" w:hAnsi="Tahoma" w:cs="Tahoma"/>
          <w:sz w:val="20"/>
          <w:szCs w:val="20"/>
        </w:rPr>
        <w:tab/>
      </w:r>
      <w:r w:rsidRPr="00A3448F">
        <w:rPr>
          <w:rFonts w:ascii="Tahoma" w:hAnsi="Tahoma" w:cs="Tahoma"/>
          <w:sz w:val="20"/>
          <w:szCs w:val="20"/>
        </w:rPr>
        <w:tab/>
      </w:r>
      <w:r w:rsidRPr="00A3448F">
        <w:rPr>
          <w:rFonts w:ascii="Tahoma" w:hAnsi="Tahoma" w:cs="Tahoma"/>
          <w:sz w:val="20"/>
          <w:szCs w:val="20"/>
        </w:rPr>
        <w:tab/>
      </w:r>
      <w:r w:rsidRPr="00A3448F">
        <w:rPr>
          <w:rFonts w:ascii="Tahoma" w:hAnsi="Tahoma" w:cs="Tahoma"/>
          <w:sz w:val="20"/>
          <w:szCs w:val="20"/>
        </w:rPr>
        <w:tab/>
        <w:t xml:space="preserve">                    </w:t>
      </w:r>
    </w:p>
    <w:p w:rsidR="00196DEE" w:rsidRPr="00196DEE" w:rsidRDefault="00196DEE" w:rsidP="00070CF0">
      <w:pPr>
        <w:rPr>
          <w:rFonts w:ascii="Tahoma" w:hAnsi="Tahoma" w:cs="Tahoma"/>
          <w:color w:val="000099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196DEE">
        <w:rPr>
          <w:rFonts w:ascii="Tahoma" w:hAnsi="Tahoma" w:cs="Tahoma"/>
          <w:color w:val="000099"/>
          <w:sz w:val="20"/>
          <w:szCs w:val="20"/>
        </w:rPr>
        <w:t>Adam Wesołowski</w:t>
      </w:r>
    </w:p>
    <w:p w:rsidR="00C52296" w:rsidRPr="00196DEE" w:rsidRDefault="00196DEE" w:rsidP="00196DEE">
      <w:pPr>
        <w:ind w:left="5664" w:firstLine="708"/>
        <w:rPr>
          <w:rFonts w:ascii="Tahoma" w:hAnsi="Tahoma" w:cs="Tahoma"/>
          <w:color w:val="000099"/>
          <w:sz w:val="20"/>
          <w:szCs w:val="20"/>
        </w:rPr>
      </w:pPr>
      <w:r w:rsidRPr="00196DEE">
        <w:rPr>
          <w:rFonts w:ascii="Tahoma" w:hAnsi="Tahoma" w:cs="Tahoma"/>
          <w:color w:val="000099"/>
          <w:sz w:val="20"/>
          <w:szCs w:val="20"/>
        </w:rPr>
        <w:t>Dyrektor Filharmonii Śląskiej</w:t>
      </w:r>
    </w:p>
    <w:sectPr w:rsidR="00C52296" w:rsidRPr="00196DEE" w:rsidSect="007C1BED"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6CDB6C" w15:done="0"/>
  <w15:commentEx w15:paraId="3481A123" w15:done="0"/>
  <w15:commentEx w15:paraId="1CE0B8E0" w15:paraIdParent="3481A1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2242" w16cex:dateUtc="2020-09-24T11:48:00Z"/>
  <w16cex:commentExtensible w16cex:durableId="2317224C" w16cex:dateUtc="2020-09-24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6CDB6C" w16cid:durableId="23172242"/>
  <w16cid:commentId w16cid:paraId="3481A123" w16cid:durableId="23172112"/>
  <w16cid:commentId w16cid:paraId="1CE0B8E0" w16cid:durableId="2317224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E1" w:rsidRDefault="00E167E1" w:rsidP="00D96379">
      <w:r>
        <w:separator/>
      </w:r>
    </w:p>
  </w:endnote>
  <w:endnote w:type="continuationSeparator" w:id="0">
    <w:p w:rsidR="00E167E1" w:rsidRDefault="00E167E1" w:rsidP="00D9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ianz Serif C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E1" w:rsidRPr="00411AEF" w:rsidRDefault="000B4FC3" w:rsidP="00D96379">
    <w:pPr>
      <w:pStyle w:val="Stopka"/>
      <w:rPr>
        <w:rFonts w:ascii="Calibri" w:hAnsi="Calibri" w:cs="Calibri"/>
        <w:noProof/>
        <w:color w:val="C00000"/>
        <w:sz w:val="18"/>
        <w:szCs w:val="18"/>
      </w:rPr>
    </w:pPr>
    <w:r w:rsidRPr="000B4FC3">
      <w:rPr>
        <w:rFonts w:ascii="Tahoma" w:hAnsi="Tahoma" w:cs="Tahoma"/>
        <w:noProof/>
        <w:sz w:val="20"/>
        <w:szCs w:val="20"/>
      </w:rPr>
      <w:pict>
        <v:line id="Łącznik prosty 1" o:spid="_x0000_s53250" style="position:absolute;z-index:-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15pt,788.75pt" to="493.2pt,7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" strokecolor="#7f7f7f" strokeweight="1.25pt">
          <v:stroke joinstyle="miter"/>
          <o:lock v:ext="edit" shapetype="f"/>
          <w10:wrap anchory="page"/>
        </v:line>
      </w:pict>
    </w:r>
  </w:p>
  <w:p w:rsidR="00E167E1" w:rsidRPr="00AC2986" w:rsidRDefault="00E167E1" w:rsidP="009D041E">
    <w:pPr>
      <w:pStyle w:val="Stopka"/>
      <w:framePr w:w="1093" w:h="301" w:hRule="exact" w:wrap="around" w:vAnchor="page" w:hAnchor="page" w:x="10006" w:y="16111"/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</w:pPr>
    <w:r w:rsidRPr="00AC2986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t xml:space="preserve">Strona </w:t>
    </w:r>
    <w:r w:rsidR="000B4FC3" w:rsidRPr="00AC2986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fldChar w:fldCharType="begin"/>
    </w:r>
    <w:r w:rsidRPr="00AC2986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instrText xml:space="preserve">PAGE  </w:instrText>
    </w:r>
    <w:r w:rsidR="000B4FC3" w:rsidRPr="00AC2986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fldChar w:fldCharType="separate"/>
    </w:r>
    <w:r w:rsidR="002C0946">
      <w:rPr>
        <w:rStyle w:val="Numerstrony"/>
        <w:rFonts w:ascii="Calibri" w:hAnsi="Calibri" w:cs="Calibri"/>
        <w:noProof/>
        <w:color w:val="808080" w:themeColor="background1" w:themeShade="80"/>
        <w:sz w:val="18"/>
        <w:szCs w:val="16"/>
      </w:rPr>
      <w:t>6</w:t>
    </w:r>
    <w:r w:rsidR="000B4FC3" w:rsidRPr="00AC2986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fldChar w:fldCharType="end"/>
    </w:r>
    <w:r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t xml:space="preserve"> z 8</w:t>
    </w:r>
  </w:p>
  <w:p w:rsidR="00E167E1" w:rsidRDefault="00E167E1" w:rsidP="00D96379">
    <w:pPr>
      <w:pStyle w:val="Stopka"/>
      <w:rPr>
        <w:noProof/>
      </w:rPr>
    </w:pPr>
    <w:r>
      <w:rPr>
        <w:rFonts w:ascii="Calibri" w:hAnsi="Calibri" w:cs="Calibri"/>
        <w:noProof/>
        <w:color w:val="C00000"/>
        <w:sz w:val="18"/>
        <w:szCs w:val="18"/>
      </w:rPr>
      <w:t>ZAPYTANIE OFERTOWE</w:t>
    </w:r>
  </w:p>
  <w:p w:rsidR="00E167E1" w:rsidRDefault="00E167E1" w:rsidP="00D96379">
    <w:pPr>
      <w:pStyle w:val="Stopka"/>
      <w:rPr>
        <w:noProof/>
      </w:rPr>
    </w:pPr>
  </w:p>
  <w:p w:rsidR="00E167E1" w:rsidRDefault="00E167E1" w:rsidP="00D96379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861695</wp:posOffset>
          </wp:positionH>
          <wp:positionV relativeFrom="paragraph">
            <wp:posOffset>10126980</wp:posOffset>
          </wp:positionV>
          <wp:extent cx="5868035" cy="245110"/>
          <wp:effectExtent l="0" t="0" r="0" b="2540"/>
          <wp:wrapTight wrapText="bothSides">
            <wp:wrapPolygon edited="0">
              <wp:start x="0" y="0"/>
              <wp:lineTo x="0" y="20145"/>
              <wp:lineTo x="21528" y="20145"/>
              <wp:lineTo x="2152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2781"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245110"/>
                  </a:xfrm>
                  <a:prstGeom prst="rect">
                    <a:avLst/>
                  </a:prstGeom>
                  <a:solidFill>
                    <a:srgbClr val="002060"/>
                  </a:solidFill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861695</wp:posOffset>
          </wp:positionH>
          <wp:positionV relativeFrom="paragraph">
            <wp:posOffset>10126980</wp:posOffset>
          </wp:positionV>
          <wp:extent cx="5868035" cy="245110"/>
          <wp:effectExtent l="0" t="0" r="0" b="2540"/>
          <wp:wrapTight wrapText="bothSides">
            <wp:wrapPolygon edited="0">
              <wp:start x="0" y="0"/>
              <wp:lineTo x="0" y="20145"/>
              <wp:lineTo x="21528" y="20145"/>
              <wp:lineTo x="2152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2781"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245110"/>
                  </a:xfrm>
                  <a:prstGeom prst="rect">
                    <a:avLst/>
                  </a:prstGeom>
                  <a:solidFill>
                    <a:srgbClr val="002060"/>
                  </a:solidFill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E1" w:rsidRDefault="000B4FC3" w:rsidP="00411AEF">
    <w:pPr>
      <w:tabs>
        <w:tab w:val="center" w:pos="4536"/>
        <w:tab w:val="right" w:pos="10065"/>
      </w:tabs>
      <w:ind w:left="142"/>
      <w:rPr>
        <w:rFonts w:ascii="Calibri" w:hAnsi="Calibri" w:cs="Calibri"/>
        <w:b/>
        <w:color w:val="C00000"/>
        <w:sz w:val="22"/>
        <w:szCs w:val="22"/>
        <w:lang w:val="en-US"/>
      </w:rPr>
    </w:pPr>
    <w:r w:rsidRPr="000B4FC3">
      <w:rPr>
        <w:rFonts w:ascii="Tahoma" w:hAnsi="Tahoma" w:cs="Tahoma"/>
        <w:noProof/>
        <w:sz w:val="20"/>
        <w:szCs w:val="20"/>
      </w:rPr>
      <w:pict>
        <v:line id="Łącznik prosty 8" o:spid="_x0000_s53249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11.25pt,762pt" to="496.95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" strokecolor="#7f7f7f" strokeweight="1.25pt">
          <v:stroke joinstyle="miter"/>
          <o:lock v:ext="edit" shapetype="f"/>
          <w10:wrap anchory="page"/>
        </v:line>
      </w:pict>
    </w:r>
    <w:r w:rsidR="00E167E1"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185420</wp:posOffset>
          </wp:positionV>
          <wp:extent cx="510487" cy="784860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7151" t="65480" r="69323" b="25670"/>
                  <a:stretch/>
                </pic:blipFill>
                <pic:spPr bwMode="auto">
                  <a:xfrm>
                    <a:off x="0" y="0"/>
                    <a:ext cx="510487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167E1" w:rsidRPr="00411AEF" w:rsidRDefault="00E167E1" w:rsidP="00411AEF">
    <w:pPr>
      <w:tabs>
        <w:tab w:val="center" w:pos="4536"/>
        <w:tab w:val="right" w:pos="10065"/>
      </w:tabs>
      <w:ind w:left="709" w:right="-285"/>
      <w:rPr>
        <w:rFonts w:ascii="Calibri" w:hAnsi="Calibri" w:cs="Calibri"/>
        <w:color w:val="808080"/>
        <w:sz w:val="18"/>
        <w:szCs w:val="20"/>
      </w:rPr>
    </w:pPr>
    <w:r w:rsidRPr="00411AEF">
      <w:rPr>
        <w:rFonts w:ascii="Calibri" w:hAnsi="Calibri" w:cs="Calibri"/>
        <w:b/>
        <w:color w:val="C00000"/>
        <w:sz w:val="22"/>
        <w:lang w:val="en-US"/>
      </w:rPr>
      <w:t>EQUINUM Broker Sp. z o. o.</w:t>
    </w:r>
    <w:r w:rsidRPr="00411AEF">
      <w:rPr>
        <w:rFonts w:ascii="Calibri" w:hAnsi="Calibri" w:cs="Calibri"/>
        <w:b/>
        <w:color w:val="C00000"/>
        <w:sz w:val="18"/>
        <w:szCs w:val="20"/>
        <w:lang w:val="en-US"/>
      </w:rPr>
      <w:tab/>
    </w:r>
    <w:r w:rsidRPr="00411AEF">
      <w:rPr>
        <w:rFonts w:ascii="Calibri" w:hAnsi="Calibri" w:cs="Calibri"/>
        <w:b/>
        <w:color w:val="C00000"/>
        <w:sz w:val="18"/>
        <w:szCs w:val="20"/>
        <w:lang w:val="en-US"/>
      </w:rPr>
      <w:tab/>
    </w:r>
    <w:r w:rsidRPr="00A404F4">
      <w:rPr>
        <w:rFonts w:ascii="Calibri" w:hAnsi="Calibri" w:cs="Calibri"/>
        <w:color w:val="000000" w:themeColor="text1"/>
        <w:sz w:val="18"/>
        <w:szCs w:val="20"/>
      </w:rPr>
      <w:t>KRS: Sąd Rejonowy w Katowicach nr 0000109256</w:t>
    </w:r>
  </w:p>
  <w:p w:rsidR="00E167E1" w:rsidRPr="00A404F4" w:rsidRDefault="00E167E1" w:rsidP="00411AEF">
    <w:pPr>
      <w:tabs>
        <w:tab w:val="center" w:pos="4536"/>
        <w:tab w:val="right" w:pos="10065"/>
      </w:tabs>
      <w:ind w:left="709" w:right="-285"/>
      <w:rPr>
        <w:rFonts w:ascii="Calibri" w:hAnsi="Calibri" w:cs="Calibri"/>
        <w:color w:val="000000" w:themeColor="text1"/>
        <w:sz w:val="18"/>
        <w:szCs w:val="20"/>
      </w:rPr>
    </w:pPr>
    <w:r w:rsidRPr="00A404F4">
      <w:rPr>
        <w:rFonts w:ascii="Calibri" w:hAnsi="Calibri" w:cs="Calibri"/>
        <w:color w:val="000000" w:themeColor="text1"/>
        <w:sz w:val="18"/>
        <w:szCs w:val="20"/>
      </w:rPr>
      <w:t xml:space="preserve">41-200 Sosnowiec, ul. Kiepury 11 </w:t>
    </w:r>
    <w:r w:rsidRPr="00A404F4">
      <w:rPr>
        <w:rFonts w:ascii="Calibri" w:hAnsi="Calibri" w:cs="Calibri"/>
        <w:color w:val="000000" w:themeColor="text1"/>
        <w:sz w:val="18"/>
        <w:szCs w:val="20"/>
      </w:rPr>
      <w:tab/>
      <w:t xml:space="preserve">                                                                                             NIP: 635-14-03-672; REGON: 273345300</w:t>
    </w:r>
  </w:p>
  <w:p w:rsidR="00E167E1" w:rsidRPr="00A404F4" w:rsidRDefault="00E167E1" w:rsidP="00411AEF">
    <w:pPr>
      <w:tabs>
        <w:tab w:val="center" w:pos="4536"/>
        <w:tab w:val="right" w:pos="10065"/>
      </w:tabs>
      <w:ind w:left="709" w:right="-285"/>
      <w:rPr>
        <w:rFonts w:ascii="Calibri" w:hAnsi="Calibri" w:cs="Calibri"/>
        <w:color w:val="000000" w:themeColor="text1"/>
        <w:sz w:val="18"/>
        <w:szCs w:val="20"/>
      </w:rPr>
    </w:pPr>
    <w:r w:rsidRPr="00A404F4">
      <w:rPr>
        <w:rFonts w:ascii="Calibri" w:hAnsi="Calibri" w:cs="Calibri"/>
        <w:color w:val="000000" w:themeColor="text1"/>
        <w:sz w:val="18"/>
        <w:szCs w:val="20"/>
      </w:rPr>
      <w:t>tel. 32 296 33 11</w:t>
    </w:r>
    <w:r w:rsidRPr="00A404F4">
      <w:rPr>
        <w:rFonts w:ascii="Calibri" w:hAnsi="Calibri" w:cs="Calibri"/>
        <w:color w:val="000000" w:themeColor="text1"/>
        <w:sz w:val="18"/>
        <w:szCs w:val="20"/>
      </w:rPr>
      <w:tab/>
      <w:t xml:space="preserve">                                                                                                                                                Zezwolenie KNUiFE: 1330/04</w:t>
    </w:r>
    <w:r w:rsidRPr="00A404F4">
      <w:rPr>
        <w:rFonts w:ascii="Calibri" w:hAnsi="Calibri" w:cs="Calibri"/>
        <w:color w:val="000000" w:themeColor="text1"/>
        <w:sz w:val="18"/>
        <w:szCs w:val="20"/>
      </w:rPr>
      <w:tab/>
    </w:r>
  </w:p>
  <w:p w:rsidR="00E167E1" w:rsidRPr="00A404F4" w:rsidRDefault="00E167E1" w:rsidP="00411AEF">
    <w:pPr>
      <w:tabs>
        <w:tab w:val="center" w:pos="4536"/>
        <w:tab w:val="right" w:pos="10065"/>
      </w:tabs>
      <w:ind w:left="709" w:right="-285"/>
      <w:rPr>
        <w:rFonts w:ascii="Calibri" w:hAnsi="Calibri" w:cs="Calibri"/>
        <w:color w:val="000000" w:themeColor="text1"/>
        <w:sz w:val="18"/>
        <w:szCs w:val="20"/>
      </w:rPr>
    </w:pPr>
    <w:r w:rsidRPr="00A404F4">
      <w:rPr>
        <w:rFonts w:ascii="Calibri" w:hAnsi="Calibri" w:cs="Calibri"/>
        <w:color w:val="000000" w:themeColor="text1"/>
        <w:sz w:val="18"/>
        <w:szCs w:val="20"/>
      </w:rPr>
      <w:t>tel. kom. + 48 533 366 775</w:t>
    </w:r>
    <w:r w:rsidRPr="00A404F4">
      <w:rPr>
        <w:rFonts w:ascii="Calibri" w:hAnsi="Calibri" w:cs="Calibri"/>
        <w:color w:val="000000" w:themeColor="text1"/>
        <w:sz w:val="18"/>
        <w:szCs w:val="20"/>
      </w:rPr>
      <w:tab/>
      <w:t xml:space="preserve">                                                                                                                     Kapitał Zakładowy: 55.500,00 PLN</w:t>
    </w:r>
    <w:r w:rsidRPr="00A404F4">
      <w:rPr>
        <w:rFonts w:ascii="Calibri" w:hAnsi="Calibri" w:cs="Calibri"/>
        <w:color w:val="000000" w:themeColor="text1"/>
        <w:sz w:val="18"/>
        <w:szCs w:val="20"/>
      </w:rPr>
      <w:tab/>
    </w:r>
  </w:p>
  <w:p w:rsidR="00E167E1" w:rsidRPr="00411AEF" w:rsidRDefault="00E167E1" w:rsidP="00411AEF">
    <w:pPr>
      <w:tabs>
        <w:tab w:val="center" w:pos="4536"/>
        <w:tab w:val="right" w:pos="10065"/>
      </w:tabs>
      <w:ind w:left="709" w:right="-285"/>
      <w:rPr>
        <w:rFonts w:ascii="Calibri" w:hAnsi="Calibri" w:cs="Calibri"/>
        <w:color w:val="808080"/>
        <w:sz w:val="18"/>
        <w:szCs w:val="20"/>
        <w:lang w:val="en-US"/>
      </w:rPr>
    </w:pPr>
    <w:r w:rsidRPr="00A404F4">
      <w:rPr>
        <w:rFonts w:ascii="Calibri" w:hAnsi="Calibri" w:cs="Calibri"/>
        <w:color w:val="000000" w:themeColor="text1"/>
        <w:sz w:val="18"/>
        <w:szCs w:val="20"/>
        <w:lang w:val="en-US"/>
      </w:rPr>
      <w:t xml:space="preserve">e-mail: </w:t>
    </w:r>
    <w:hyperlink r:id="rId2" w:history="1">
      <w:r w:rsidRPr="00A404F4">
        <w:rPr>
          <w:rStyle w:val="Hipercze"/>
          <w:rFonts w:ascii="Calibri" w:hAnsi="Calibri" w:cs="Calibri"/>
          <w:color w:val="000000" w:themeColor="text1"/>
          <w:sz w:val="18"/>
          <w:szCs w:val="20"/>
          <w:lang w:val="en-US"/>
        </w:rPr>
        <w:t>biuro@equinum.pl</w:t>
      </w:r>
    </w:hyperlink>
    <w:r w:rsidRPr="00411AEF">
      <w:rPr>
        <w:rFonts w:ascii="Calibri" w:hAnsi="Calibri" w:cs="Calibri"/>
        <w:color w:val="808080" w:themeColor="background1" w:themeShade="80"/>
        <w:sz w:val="18"/>
        <w:szCs w:val="20"/>
        <w:lang w:val="en-US"/>
      </w:rPr>
      <w:tab/>
    </w:r>
    <w:r>
      <w:rPr>
        <w:rFonts w:ascii="Calibri" w:hAnsi="Calibri" w:cs="Calibri"/>
        <w:color w:val="808080"/>
        <w:sz w:val="18"/>
        <w:szCs w:val="20"/>
        <w:lang w:val="en-US"/>
      </w:rPr>
      <w:tab/>
    </w:r>
    <w:r w:rsidRPr="00411AEF">
      <w:rPr>
        <w:rFonts w:ascii="Calibri" w:hAnsi="Calibri" w:cs="Calibri"/>
        <w:b/>
        <w:color w:val="C00000"/>
        <w:sz w:val="18"/>
        <w:szCs w:val="20"/>
        <w:lang w:val="en-US"/>
      </w:rPr>
      <w:t>www.equinum.pl</w:t>
    </w:r>
  </w:p>
  <w:p w:rsidR="00E167E1" w:rsidRPr="00D266C2" w:rsidRDefault="00E167E1" w:rsidP="00411AEF">
    <w:pPr>
      <w:pStyle w:val="Stopka"/>
      <w:ind w:left="567" w:right="-143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E1" w:rsidRDefault="00E167E1" w:rsidP="00D96379">
      <w:r>
        <w:separator/>
      </w:r>
    </w:p>
  </w:footnote>
  <w:footnote w:type="continuationSeparator" w:id="0">
    <w:p w:rsidR="00E167E1" w:rsidRDefault="00E167E1" w:rsidP="00D96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E1" w:rsidRDefault="00E167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259080</wp:posOffset>
          </wp:positionV>
          <wp:extent cx="2072640" cy="615950"/>
          <wp:effectExtent l="0" t="0" r="3810" b="0"/>
          <wp:wrapTight wrapText="right">
            <wp:wrapPolygon edited="0">
              <wp:start x="0" y="0"/>
              <wp:lineTo x="0" y="20709"/>
              <wp:lineTo x="21441" y="20709"/>
              <wp:lineTo x="214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024" t="25457" r="26666" b="65910"/>
                  <a:stretch/>
                </pic:blipFill>
                <pic:spPr bwMode="auto">
                  <a:xfrm>
                    <a:off x="0" y="0"/>
                    <a:ext cx="207264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17"/>
        </w:tabs>
        <w:ind w:left="91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917"/>
        </w:tabs>
        <w:ind w:left="91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917"/>
        </w:tabs>
        <w:ind w:left="91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917"/>
        </w:tabs>
        <w:ind w:left="91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917"/>
        </w:tabs>
        <w:ind w:left="91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917"/>
        </w:tabs>
        <w:ind w:left="91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917"/>
        </w:tabs>
        <w:ind w:left="91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917"/>
        </w:tabs>
        <w:ind w:left="91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917"/>
        </w:tabs>
        <w:ind w:left="917" w:firstLine="0"/>
      </w:pPr>
    </w:lvl>
  </w:abstractNum>
  <w:abstractNum w:abstractNumId="1">
    <w:nsid w:val="06A76631"/>
    <w:multiLevelType w:val="hybridMultilevel"/>
    <w:tmpl w:val="A61C1B5E"/>
    <w:lvl w:ilvl="0" w:tplc="26F29C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D451A5"/>
    <w:multiLevelType w:val="hybridMultilevel"/>
    <w:tmpl w:val="4D3C8880"/>
    <w:lvl w:ilvl="0" w:tplc="0DB09A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611A"/>
    <w:multiLevelType w:val="hybridMultilevel"/>
    <w:tmpl w:val="B8E0D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2A34"/>
    <w:multiLevelType w:val="hybridMultilevel"/>
    <w:tmpl w:val="8E1092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E856DFE"/>
    <w:multiLevelType w:val="hybridMultilevel"/>
    <w:tmpl w:val="B12ED59A"/>
    <w:lvl w:ilvl="0" w:tplc="15B87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779A3"/>
    <w:multiLevelType w:val="hybridMultilevel"/>
    <w:tmpl w:val="A4D297CE"/>
    <w:lvl w:ilvl="0" w:tplc="4A644602">
      <w:start w:val="1"/>
      <w:numFmt w:val="lowerLetter"/>
      <w:lvlText w:val="%1)"/>
      <w:lvlJc w:val="left"/>
      <w:pPr>
        <w:ind w:left="1146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79F03A1"/>
    <w:multiLevelType w:val="hybridMultilevel"/>
    <w:tmpl w:val="F10AA688"/>
    <w:lvl w:ilvl="0" w:tplc="C8A26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18C3"/>
    <w:multiLevelType w:val="hybridMultilevel"/>
    <w:tmpl w:val="44FA9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D5C61"/>
    <w:multiLevelType w:val="hybridMultilevel"/>
    <w:tmpl w:val="5E4AC81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22B051F"/>
    <w:multiLevelType w:val="hybridMultilevel"/>
    <w:tmpl w:val="6AE8B9DE"/>
    <w:lvl w:ilvl="0" w:tplc="681C84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C18E7"/>
    <w:multiLevelType w:val="hybridMultilevel"/>
    <w:tmpl w:val="3270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94CDB"/>
    <w:multiLevelType w:val="hybridMultilevel"/>
    <w:tmpl w:val="5E460998"/>
    <w:lvl w:ilvl="0" w:tplc="70EC7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D4008"/>
    <w:multiLevelType w:val="hybridMultilevel"/>
    <w:tmpl w:val="25B27E78"/>
    <w:lvl w:ilvl="0" w:tplc="68FE44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Hajduk">
    <w15:presenceInfo w15:providerId="AD" w15:userId="S::ahajduk@equinum.pl::4c131028-a68f-41d4-86b2-77b66b275d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savePreviewPicture/>
  <w:hdrShapeDefaults>
    <o:shapedefaults v:ext="edit" spidmax="53251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379"/>
    <w:rsid w:val="0003055E"/>
    <w:rsid w:val="0006037B"/>
    <w:rsid w:val="00070CF0"/>
    <w:rsid w:val="000B0C7E"/>
    <w:rsid w:val="000B4FC3"/>
    <w:rsid w:val="000D6AA6"/>
    <w:rsid w:val="000F64FF"/>
    <w:rsid w:val="00142391"/>
    <w:rsid w:val="00146054"/>
    <w:rsid w:val="0015112B"/>
    <w:rsid w:val="00196DEE"/>
    <w:rsid w:val="001D0DBB"/>
    <w:rsid w:val="002827F7"/>
    <w:rsid w:val="00285867"/>
    <w:rsid w:val="002B206F"/>
    <w:rsid w:val="002C0946"/>
    <w:rsid w:val="002D4986"/>
    <w:rsid w:val="0030212A"/>
    <w:rsid w:val="003235C1"/>
    <w:rsid w:val="003709AE"/>
    <w:rsid w:val="00411AEF"/>
    <w:rsid w:val="00455349"/>
    <w:rsid w:val="00472DDF"/>
    <w:rsid w:val="004A243A"/>
    <w:rsid w:val="004B049E"/>
    <w:rsid w:val="004C20EA"/>
    <w:rsid w:val="004D2314"/>
    <w:rsid w:val="00506D42"/>
    <w:rsid w:val="00590033"/>
    <w:rsid w:val="00593A41"/>
    <w:rsid w:val="005974EF"/>
    <w:rsid w:val="005C0D71"/>
    <w:rsid w:val="005C15F1"/>
    <w:rsid w:val="00600736"/>
    <w:rsid w:val="00652A73"/>
    <w:rsid w:val="006822AA"/>
    <w:rsid w:val="006C26B4"/>
    <w:rsid w:val="006D4302"/>
    <w:rsid w:val="006D6379"/>
    <w:rsid w:val="00721E79"/>
    <w:rsid w:val="007468CD"/>
    <w:rsid w:val="007607FE"/>
    <w:rsid w:val="00762AF4"/>
    <w:rsid w:val="00787C6F"/>
    <w:rsid w:val="00795182"/>
    <w:rsid w:val="007C1BED"/>
    <w:rsid w:val="007F65F0"/>
    <w:rsid w:val="0082657C"/>
    <w:rsid w:val="008427DB"/>
    <w:rsid w:val="00894F8C"/>
    <w:rsid w:val="008D3E0F"/>
    <w:rsid w:val="00934289"/>
    <w:rsid w:val="00977D49"/>
    <w:rsid w:val="009D041E"/>
    <w:rsid w:val="00A225F7"/>
    <w:rsid w:val="00A26514"/>
    <w:rsid w:val="00A3448F"/>
    <w:rsid w:val="00A404F4"/>
    <w:rsid w:val="00A718E7"/>
    <w:rsid w:val="00AA5CF8"/>
    <w:rsid w:val="00AC2986"/>
    <w:rsid w:val="00AF751C"/>
    <w:rsid w:val="00B17B38"/>
    <w:rsid w:val="00BA59A9"/>
    <w:rsid w:val="00C22E95"/>
    <w:rsid w:val="00C52296"/>
    <w:rsid w:val="00C55CD9"/>
    <w:rsid w:val="00C81713"/>
    <w:rsid w:val="00CC10AA"/>
    <w:rsid w:val="00D266C2"/>
    <w:rsid w:val="00D70A9C"/>
    <w:rsid w:val="00D86C10"/>
    <w:rsid w:val="00D96379"/>
    <w:rsid w:val="00D96CC3"/>
    <w:rsid w:val="00DB05C6"/>
    <w:rsid w:val="00DE4383"/>
    <w:rsid w:val="00E167E1"/>
    <w:rsid w:val="00E40CBC"/>
    <w:rsid w:val="00E57455"/>
    <w:rsid w:val="00E844E0"/>
    <w:rsid w:val="00E938B9"/>
    <w:rsid w:val="00EB4D99"/>
    <w:rsid w:val="00EE08DF"/>
    <w:rsid w:val="00FB1AB1"/>
    <w:rsid w:val="00FB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1713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81713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C817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81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817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81713"/>
    <w:pPr>
      <w:keepNext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C81713"/>
    <w:pPr>
      <w:keepNext/>
      <w:ind w:left="3420"/>
      <w:jc w:val="both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C81713"/>
    <w:pPr>
      <w:keepNext/>
      <w:jc w:val="both"/>
      <w:outlineLvl w:val="7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63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6379"/>
  </w:style>
  <w:style w:type="paragraph" w:styleId="Stopka">
    <w:name w:val="footer"/>
    <w:basedOn w:val="Normalny"/>
    <w:link w:val="StopkaZnak"/>
    <w:uiPriority w:val="99"/>
    <w:unhideWhenUsed/>
    <w:rsid w:val="00D963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6379"/>
  </w:style>
  <w:style w:type="character" w:styleId="Numerstrony">
    <w:name w:val="page number"/>
    <w:basedOn w:val="Domylnaczcionkaakapitu"/>
    <w:rsid w:val="002B206F"/>
  </w:style>
  <w:style w:type="character" w:customStyle="1" w:styleId="Nagwek1Znak">
    <w:name w:val="Nagłówek 1 Znak"/>
    <w:basedOn w:val="Domylnaczcionkaakapitu"/>
    <w:link w:val="Nagwek1"/>
    <w:rsid w:val="00C81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1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17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817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71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71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81713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8171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styleId="Hipercze">
    <w:name w:val="Hyperlink"/>
    <w:basedOn w:val="Domylnaczcionkaakapitu"/>
    <w:rsid w:val="00C81713"/>
    <w:rPr>
      <w:color w:val="0000FF"/>
      <w:u w:val="single"/>
    </w:rPr>
  </w:style>
  <w:style w:type="character" w:styleId="UyteHipercze">
    <w:name w:val="FollowedHyperlink"/>
    <w:basedOn w:val="Domylnaczcionkaakapitu"/>
    <w:rsid w:val="00C81713"/>
    <w:rPr>
      <w:color w:val="800080"/>
      <w:u w:val="single"/>
    </w:rPr>
  </w:style>
  <w:style w:type="paragraph" w:customStyle="1" w:styleId="LucaCash">
    <w:name w:val="Luca&amp;Cash"/>
    <w:basedOn w:val="Normalny"/>
    <w:rsid w:val="00C81713"/>
    <w:pPr>
      <w:spacing w:line="360" w:lineRule="auto"/>
    </w:pPr>
    <w:rPr>
      <w:rFonts w:ascii="Arial Narrow" w:hAnsi="Arial Narrow"/>
      <w:szCs w:val="20"/>
    </w:rPr>
  </w:style>
  <w:style w:type="paragraph" w:styleId="Tekstpodstawowywcity">
    <w:name w:val="Body Text Indent"/>
    <w:basedOn w:val="Normalny"/>
    <w:link w:val="TekstpodstawowywcityZnak"/>
    <w:rsid w:val="00C81713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17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817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817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body text"/>
    <w:basedOn w:val="Normalny"/>
    <w:link w:val="TekstpodstawowyZnak"/>
    <w:rsid w:val="00C81713"/>
    <w:pPr>
      <w:spacing w:after="120"/>
    </w:p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C817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81713"/>
    <w:pPr>
      <w:jc w:val="center"/>
    </w:pPr>
    <w:rPr>
      <w:b/>
      <w:sz w:val="28"/>
      <w:szCs w:val="20"/>
      <w:lang w:val="en-US"/>
    </w:rPr>
  </w:style>
  <w:style w:type="character" w:customStyle="1" w:styleId="PodtytuZnak">
    <w:name w:val="Podtytuł Znak"/>
    <w:basedOn w:val="Domylnaczcionkaakapitu"/>
    <w:link w:val="Podtytu"/>
    <w:rsid w:val="00C81713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C817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17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817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817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C81713"/>
  </w:style>
  <w:style w:type="paragraph" w:customStyle="1" w:styleId="Pa6">
    <w:name w:val="Pa6"/>
    <w:basedOn w:val="Normalny"/>
    <w:next w:val="Normalny"/>
    <w:uiPriority w:val="99"/>
    <w:rsid w:val="00C81713"/>
    <w:pPr>
      <w:autoSpaceDE w:val="0"/>
      <w:autoSpaceDN w:val="0"/>
      <w:adjustRightInd w:val="0"/>
      <w:spacing w:line="151" w:lineRule="atLeast"/>
    </w:pPr>
    <w:rPr>
      <w:rFonts w:ascii="Allianz Serif CE" w:hAnsi="Allianz Serif CE"/>
    </w:rPr>
  </w:style>
  <w:style w:type="paragraph" w:customStyle="1" w:styleId="Pa7">
    <w:name w:val="Pa7"/>
    <w:basedOn w:val="Normalny"/>
    <w:next w:val="Normalny"/>
    <w:uiPriority w:val="99"/>
    <w:rsid w:val="00C81713"/>
    <w:pPr>
      <w:autoSpaceDE w:val="0"/>
      <w:autoSpaceDN w:val="0"/>
      <w:adjustRightInd w:val="0"/>
      <w:spacing w:line="151" w:lineRule="atLeast"/>
    </w:pPr>
    <w:rPr>
      <w:rFonts w:ascii="Allianz Serif CE" w:hAnsi="Allianz Serif CE"/>
    </w:rPr>
  </w:style>
  <w:style w:type="paragraph" w:customStyle="1" w:styleId="Pa8">
    <w:name w:val="Pa8"/>
    <w:basedOn w:val="Normalny"/>
    <w:next w:val="Normalny"/>
    <w:uiPriority w:val="99"/>
    <w:rsid w:val="00C81713"/>
    <w:pPr>
      <w:autoSpaceDE w:val="0"/>
      <w:autoSpaceDN w:val="0"/>
      <w:adjustRightInd w:val="0"/>
      <w:spacing w:line="151" w:lineRule="atLeast"/>
    </w:pPr>
    <w:rPr>
      <w:rFonts w:ascii="Allianz Serif CE" w:hAnsi="Allianz Serif CE"/>
    </w:rPr>
  </w:style>
  <w:style w:type="paragraph" w:customStyle="1" w:styleId="Pa9">
    <w:name w:val="Pa9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10">
    <w:name w:val="Pa10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18">
    <w:name w:val="Pa18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39">
    <w:name w:val="Pa39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17">
    <w:name w:val="Pa17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C8171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1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17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aliases w:val="Normalny + (Łaciński) HDI-Gerling Sans Cond,10 pt,Wyjustowany,..."/>
    <w:basedOn w:val="Domylnaczcionkaakapitu"/>
    <w:qFormat/>
    <w:rsid w:val="00C81713"/>
    <w:rPr>
      <w:b/>
      <w:bCs/>
    </w:rPr>
  </w:style>
  <w:style w:type="paragraph" w:styleId="Tekstpodstawowywcity3">
    <w:name w:val="Body Text Indent 3"/>
    <w:basedOn w:val="Normalny"/>
    <w:link w:val="Tekstpodstawowywcity3Znak"/>
    <w:rsid w:val="00C8171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7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81713"/>
    <w:pPr>
      <w:spacing w:before="100" w:beforeAutospacing="1" w:after="100" w:afterAutospacing="1"/>
    </w:pPr>
  </w:style>
  <w:style w:type="paragraph" w:customStyle="1" w:styleId="Nagwekstrony-bazowy">
    <w:name w:val="Nagłówek strony - bazowy"/>
    <w:basedOn w:val="Tekstpodstawowy"/>
    <w:rsid w:val="00C81713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Pa12">
    <w:name w:val="Pa12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3">
    <w:name w:val="Pa3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Default">
    <w:name w:val="Default"/>
    <w:rsid w:val="00C81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C817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17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C8171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AE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7F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6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7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7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7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mailto:ahajduk@equinu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hajduk@equinum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microsoft.com/office/2011/relationships/commentsExtended" Target="commentsExtended.xml"/><Relationship Id="rId10" Type="http://schemas.openxmlformats.org/officeDocument/2006/relationships/hyperlink" Target="mailto:j.masarczyk@filharmonia-slask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equinum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34D04D6FCC540B9CCEC6C04C51807" ma:contentTypeVersion="11" ma:contentTypeDescription="Utwórz nowy dokument." ma:contentTypeScope="" ma:versionID="bdb3c0dd4441dc099f9e5ec9bb1f790f">
  <xsd:schema xmlns:xsd="http://www.w3.org/2001/XMLSchema" xmlns:xs="http://www.w3.org/2001/XMLSchema" xmlns:p="http://schemas.microsoft.com/office/2006/metadata/properties" xmlns:ns3="5ceeac3d-e0a3-416c-b6f1-0300402df241" xmlns:ns4="88118d4f-9fe1-4e63-ba05-7921eb67c6bf" targetNamespace="http://schemas.microsoft.com/office/2006/metadata/properties" ma:root="true" ma:fieldsID="186404c873847e1b47141b9cd05f2d34" ns3:_="" ns4:_="">
    <xsd:import namespace="5ceeac3d-e0a3-416c-b6f1-0300402df241"/>
    <xsd:import namespace="88118d4f-9fe1-4e63-ba05-7921eb67c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ac3d-e0a3-416c-b6f1-0300402df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8d4f-9fe1-4e63-ba05-7921eb67c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DEA95-F80E-4071-AE9D-9F10E9951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01FD8-EBF4-4C03-88BD-C3EFE1754ECD}">
  <ds:schemaRefs>
    <ds:schemaRef ds:uri="5ceeac3d-e0a3-416c-b6f1-0300402df241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88118d4f-9fe1-4e63-ba05-7921eb67c6b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EB9D78-64AD-40A3-ACF3-682C1E69C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ac3d-e0a3-416c-b6f1-0300402df241"/>
    <ds:schemaRef ds:uri="88118d4f-9fe1-4e63-ba05-7921eb67c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3764</Words>
  <Characters>22584</Characters>
  <Application>Microsoft Office Word</Application>
  <DocSecurity>0</DocSecurity>
  <Lines>188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>    WPROWADZENIE:</vt:lpstr>
      <vt:lpstr>    </vt:lpstr>
      <vt:lpstr>    1. 	Do niniejszego postępowania nie mają zastosowania przepisy ustawy z dnia 29 </vt:lpstr>
      <vt:lpstr>    2. 	Postępowanie prowadzone jest zgodnie z Regulaminem udzielania zamówień publi</vt:lpstr>
      <vt:lpstr>    </vt:lpstr>
      <vt:lpstr>    </vt:lpstr>
      <vt:lpstr>    ZAMAWIAJĄCY:</vt:lpstr>
      <vt:lpstr>    Uprawnieni do ubezpieczenia, wiek wstępu</vt:lpstr>
      <vt:lpstr>    Ubezpieczenie małżonków oraz pełnoletnich dzieci</vt:lpstr>
      <vt:lpstr>    Poziom partycypacji</vt:lpstr>
      <vt:lpstr>    Składka ubezpieczeniowa</vt:lpstr>
      <vt:lpstr>    Maksymalna wysokość składki jaką pracownicy Filharmonii Śląskiej im. Henryka Mik</vt:lpstr>
      <vt:lpstr>    Wariant I  – 60,00 zł </vt:lpstr>
      <vt:lpstr>    Wariant II – 65,00 zł </vt:lpstr>
      <vt:lpstr>    </vt:lpstr>
      <vt:lpstr>    Częstotliwość płatności składki: miesięczna.</vt:lpstr>
      <vt:lpstr>    Weryfikacja medyczna</vt:lpstr>
      <vt:lpstr>    Karencja</vt:lpstr>
      <vt:lpstr>    W przypadku pracowników, ich małżonków i pełnoletnich dzieci przystępujących do </vt:lpstr>
      <vt:lpstr>    Karencje nie dotyczą zdarzeń powstałych w następstwie nieszczęśliwego wypadku.</vt:lpstr>
      <vt:lpstr>    W przypadku, gdy zajście zdarzenia powoduje powstanie odpowiedzialności Ubezpiec</vt:lpstr>
      <vt:lpstr>    Ubezpieczyciel obejmuje ochroną ubezpieczeniową skutki stanów chorobowych oraz w</vt:lpstr>
      <vt:lpstr>    </vt:lpstr>
    </vt:vector>
  </TitlesOfParts>
  <Company/>
  <LinksUpToDate>false</LinksUpToDate>
  <CharactersWithSpaces>26296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Wróbel</dc:creator>
  <cp:lastModifiedBy>jmasarczyk</cp:lastModifiedBy>
  <cp:revision>4</cp:revision>
  <cp:lastPrinted>2020-09-23T11:55:00Z</cp:lastPrinted>
  <dcterms:created xsi:type="dcterms:W3CDTF">2020-09-24T12:58:00Z</dcterms:created>
  <dcterms:modified xsi:type="dcterms:W3CDTF">2020-09-25T11:12:00Z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0x0101008F934D04D6FCC540B9CCEC6C04C51807</vt:lpwstr>
  </property>
</Properties>
</file>